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CFD" w:rsidRPr="00533628" w:rsidRDefault="00636CFD" w:rsidP="006C2F0D">
      <w:pPr>
        <w:spacing w:after="0"/>
        <w:jc w:val="center"/>
        <w:rPr>
          <w:rFonts w:ascii="Times New Roman" w:hAnsi="Times New Roman" w:cs="Times New Roman"/>
          <w:sz w:val="28"/>
          <w:szCs w:val="28"/>
          <w:lang w:val="sr-Latn-ME"/>
        </w:rPr>
      </w:pPr>
    </w:p>
    <w:p w:rsidR="006C2F0D" w:rsidRPr="00533628" w:rsidRDefault="006C2F0D" w:rsidP="006C2F0D">
      <w:pPr>
        <w:spacing w:after="0"/>
        <w:jc w:val="center"/>
        <w:rPr>
          <w:rFonts w:ascii="Times New Roman" w:hAnsi="Times New Roman" w:cs="Times New Roman"/>
          <w:sz w:val="28"/>
          <w:szCs w:val="28"/>
          <w:lang w:val="sr-Latn-ME"/>
        </w:rPr>
      </w:pPr>
    </w:p>
    <w:p w:rsidR="006C2F0D" w:rsidRPr="00533628" w:rsidRDefault="006C2F0D" w:rsidP="006C2F0D">
      <w:pPr>
        <w:spacing w:after="0"/>
        <w:jc w:val="center"/>
        <w:rPr>
          <w:rFonts w:ascii="Times New Roman" w:hAnsi="Times New Roman" w:cs="Times New Roman"/>
          <w:sz w:val="28"/>
          <w:szCs w:val="28"/>
          <w:lang w:val="sr-Latn-ME"/>
        </w:rPr>
      </w:pPr>
    </w:p>
    <w:p w:rsidR="006C2F0D" w:rsidRPr="00533628" w:rsidRDefault="006C2F0D" w:rsidP="006C2F0D">
      <w:pPr>
        <w:spacing w:after="0"/>
        <w:jc w:val="center"/>
        <w:rPr>
          <w:rFonts w:ascii="Times New Roman" w:hAnsi="Times New Roman" w:cs="Times New Roman"/>
          <w:sz w:val="28"/>
          <w:szCs w:val="28"/>
          <w:lang w:val="sr-Latn-ME"/>
        </w:rPr>
      </w:pPr>
    </w:p>
    <w:p w:rsidR="006C2F0D" w:rsidRPr="00533628" w:rsidRDefault="006C2F0D" w:rsidP="006C2F0D">
      <w:pPr>
        <w:spacing w:after="0"/>
        <w:jc w:val="center"/>
        <w:rPr>
          <w:rFonts w:ascii="Times New Roman" w:hAnsi="Times New Roman" w:cs="Times New Roman"/>
          <w:sz w:val="28"/>
          <w:szCs w:val="28"/>
          <w:lang w:val="sr-Latn-ME"/>
        </w:rPr>
      </w:pPr>
    </w:p>
    <w:p w:rsidR="006C2F0D" w:rsidRPr="00533628" w:rsidRDefault="006C2F0D" w:rsidP="006C2F0D">
      <w:pPr>
        <w:spacing w:after="0"/>
        <w:jc w:val="center"/>
        <w:rPr>
          <w:rFonts w:ascii="Times New Roman" w:hAnsi="Times New Roman" w:cs="Times New Roman"/>
          <w:sz w:val="28"/>
          <w:szCs w:val="28"/>
          <w:lang w:val="sr-Latn-ME"/>
        </w:rPr>
      </w:pPr>
    </w:p>
    <w:p w:rsidR="006C2F0D" w:rsidRPr="00533628" w:rsidRDefault="006C2F0D" w:rsidP="006C2F0D">
      <w:pPr>
        <w:spacing w:after="0"/>
        <w:jc w:val="center"/>
        <w:rPr>
          <w:rFonts w:ascii="Times New Roman" w:hAnsi="Times New Roman" w:cs="Times New Roman"/>
          <w:sz w:val="28"/>
          <w:szCs w:val="28"/>
          <w:lang w:val="sr-Latn-ME"/>
        </w:rPr>
      </w:pPr>
    </w:p>
    <w:p w:rsidR="006C2F0D" w:rsidRPr="00533628" w:rsidRDefault="006C2F0D" w:rsidP="006C2F0D">
      <w:pPr>
        <w:spacing w:after="0"/>
        <w:jc w:val="center"/>
        <w:rPr>
          <w:rFonts w:ascii="Times New Roman" w:hAnsi="Times New Roman" w:cs="Times New Roman"/>
          <w:sz w:val="28"/>
          <w:szCs w:val="28"/>
          <w:lang w:val="sr-Latn-ME"/>
        </w:rPr>
      </w:pPr>
    </w:p>
    <w:p w:rsidR="006C2F0D" w:rsidRPr="00533628" w:rsidRDefault="006C2F0D" w:rsidP="006C2F0D">
      <w:pPr>
        <w:spacing w:after="0"/>
        <w:jc w:val="center"/>
        <w:rPr>
          <w:rFonts w:ascii="Times New Roman" w:hAnsi="Times New Roman" w:cs="Times New Roman"/>
          <w:sz w:val="28"/>
          <w:szCs w:val="28"/>
          <w:lang w:val="sr-Latn-ME"/>
        </w:rPr>
      </w:pPr>
    </w:p>
    <w:p w:rsidR="006C2F0D" w:rsidRPr="00533628" w:rsidRDefault="006C2F0D" w:rsidP="006C2F0D">
      <w:pPr>
        <w:spacing w:after="0"/>
        <w:jc w:val="center"/>
        <w:rPr>
          <w:rFonts w:ascii="Times New Roman" w:hAnsi="Times New Roman" w:cs="Times New Roman"/>
          <w:sz w:val="28"/>
          <w:szCs w:val="28"/>
          <w:lang w:val="sr-Latn-ME"/>
        </w:rPr>
      </w:pPr>
    </w:p>
    <w:p w:rsidR="006C2F0D" w:rsidRPr="00EC0656" w:rsidRDefault="00EC0656" w:rsidP="006C2F0D">
      <w:pPr>
        <w:spacing w:after="0"/>
        <w:jc w:val="center"/>
        <w:rPr>
          <w:rFonts w:ascii="Times New Roman" w:hAnsi="Times New Roman" w:cs="Times New Roman"/>
          <w:b/>
          <w:sz w:val="24"/>
          <w:szCs w:val="24"/>
          <w:lang w:val="sr-Latn-ME"/>
        </w:rPr>
      </w:pPr>
      <w:r>
        <w:rPr>
          <w:rFonts w:ascii="Times New Roman" w:hAnsi="Times New Roman" w:cs="Times New Roman"/>
          <w:b/>
          <w:sz w:val="28"/>
          <w:szCs w:val="28"/>
          <w:lang w:val="sr-Latn-ME"/>
        </w:rPr>
        <w:t>IZVJEŠTAJ O OSTVARIVANJU OSNOVNIH PRAVA IZ MATERIJALNIH DAVANJA U 2018. GODINI</w:t>
      </w:r>
    </w:p>
    <w:p w:rsidR="006C2F0D" w:rsidRPr="00533628" w:rsidRDefault="006C2F0D" w:rsidP="00313DF6">
      <w:pPr>
        <w:spacing w:after="0"/>
        <w:rPr>
          <w:rFonts w:ascii="Times New Roman" w:hAnsi="Times New Roman" w:cs="Times New Roman"/>
          <w:b/>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3244AD">
      <w:pPr>
        <w:spacing w:after="0"/>
        <w:rPr>
          <w:rFonts w:ascii="Times New Roman" w:hAnsi="Times New Roman" w:cs="Times New Roman"/>
          <w:sz w:val="28"/>
          <w:szCs w:val="28"/>
          <w:lang w:val="sr-Latn-ME"/>
        </w:rPr>
      </w:pPr>
    </w:p>
    <w:p w:rsidR="00636CFD" w:rsidRPr="00533628" w:rsidRDefault="00636CFD" w:rsidP="006C2F0D">
      <w:pPr>
        <w:spacing w:after="0"/>
        <w:jc w:val="center"/>
        <w:rPr>
          <w:rFonts w:ascii="Times New Roman" w:hAnsi="Times New Roman" w:cs="Times New Roman"/>
          <w:sz w:val="28"/>
          <w:szCs w:val="28"/>
          <w:lang w:val="sr-Latn-ME"/>
        </w:rPr>
      </w:pPr>
    </w:p>
    <w:p w:rsidR="00636CFD" w:rsidRPr="00533628" w:rsidRDefault="006C2F0D" w:rsidP="006C2F0D">
      <w:pPr>
        <w:spacing w:after="0"/>
        <w:jc w:val="center"/>
        <w:rPr>
          <w:rFonts w:ascii="Times New Roman" w:hAnsi="Times New Roman" w:cs="Times New Roman"/>
          <w:sz w:val="24"/>
          <w:szCs w:val="24"/>
          <w:lang w:val="sr-Latn-ME"/>
        </w:rPr>
      </w:pPr>
      <w:r w:rsidRPr="00533628">
        <w:rPr>
          <w:rFonts w:ascii="Times New Roman" w:hAnsi="Times New Roman" w:cs="Times New Roman"/>
          <w:sz w:val="24"/>
          <w:szCs w:val="24"/>
          <w:lang w:val="sr-Latn-ME"/>
        </w:rPr>
        <w:t>Podgorica</w:t>
      </w:r>
    </w:p>
    <w:p w:rsidR="006C2F0D" w:rsidRPr="00533628" w:rsidRDefault="00313DF6" w:rsidP="006C2F0D">
      <w:pPr>
        <w:spacing w:after="0"/>
        <w:jc w:val="center"/>
        <w:rPr>
          <w:rFonts w:ascii="Times New Roman" w:hAnsi="Times New Roman" w:cs="Times New Roman"/>
          <w:sz w:val="24"/>
          <w:szCs w:val="24"/>
          <w:lang w:val="sr-Latn-ME"/>
        </w:rPr>
      </w:pPr>
      <w:r>
        <w:rPr>
          <w:rFonts w:ascii="Times New Roman" w:hAnsi="Times New Roman" w:cs="Times New Roman"/>
          <w:sz w:val="24"/>
          <w:szCs w:val="24"/>
          <w:lang w:val="sr-Latn-ME"/>
        </w:rPr>
        <w:t>jul</w:t>
      </w:r>
      <w:r w:rsidR="006C2F0D" w:rsidRPr="00533628">
        <w:rPr>
          <w:rFonts w:ascii="Times New Roman" w:hAnsi="Times New Roman" w:cs="Times New Roman"/>
          <w:sz w:val="24"/>
          <w:szCs w:val="24"/>
          <w:lang w:val="sr-Latn-ME"/>
        </w:rPr>
        <w:t xml:space="preserve"> 2019. godine</w:t>
      </w:r>
    </w:p>
    <w:p w:rsidR="006C2F0D" w:rsidRPr="006C2F0D" w:rsidRDefault="006C2F0D" w:rsidP="006C2F0D">
      <w:pPr>
        <w:spacing w:after="0"/>
        <w:jc w:val="center"/>
        <w:rPr>
          <w:rFonts w:ascii="Arial" w:hAnsi="Arial" w:cs="Arial"/>
          <w:sz w:val="24"/>
          <w:szCs w:val="24"/>
          <w:lang w:val="sr-Latn-ME"/>
        </w:rPr>
      </w:pPr>
    </w:p>
    <w:p w:rsidR="00636CFD" w:rsidRDefault="00636CFD" w:rsidP="003244AD">
      <w:pPr>
        <w:spacing w:after="0"/>
        <w:rPr>
          <w:rFonts w:ascii="Arial" w:hAnsi="Arial" w:cs="Arial"/>
          <w:sz w:val="28"/>
          <w:szCs w:val="28"/>
          <w:lang w:val="sr-Latn-ME"/>
        </w:rPr>
      </w:pPr>
    </w:p>
    <w:p w:rsidR="00636CFD" w:rsidRDefault="00636CFD" w:rsidP="003244AD">
      <w:pPr>
        <w:spacing w:after="0"/>
        <w:rPr>
          <w:rFonts w:ascii="Arial" w:hAnsi="Arial" w:cs="Arial"/>
          <w:sz w:val="28"/>
          <w:szCs w:val="28"/>
          <w:lang w:val="sr-Latn-ME"/>
        </w:rPr>
        <w:sectPr w:rsidR="00636CFD" w:rsidSect="00902844">
          <w:headerReference w:type="even" r:id="rId9"/>
          <w:footerReference w:type="default" r:id="rId10"/>
          <w:headerReference w:type="first" r:id="rId11"/>
          <w:footerReference w:type="first" r:id="rId12"/>
          <w:pgSz w:w="12240" w:h="15840"/>
          <w:pgMar w:top="567" w:right="1440" w:bottom="851" w:left="1440" w:header="1440" w:footer="0" w:gutter="0"/>
          <w:cols w:space="708"/>
          <w:titlePg/>
          <w:docGrid w:linePitch="360"/>
        </w:sectPr>
      </w:pPr>
    </w:p>
    <w:p w:rsidR="007E63B6" w:rsidRPr="00054D08" w:rsidRDefault="007E63B6" w:rsidP="007E63B6">
      <w:pPr>
        <w:pStyle w:val="ListParagraph"/>
        <w:numPr>
          <w:ilvl w:val="0"/>
          <w:numId w:val="10"/>
        </w:numPr>
        <w:rPr>
          <w:rFonts w:ascii="Times New Roman" w:hAnsi="Times New Roman" w:cs="Times New Roman"/>
          <w:b/>
          <w:sz w:val="28"/>
          <w:szCs w:val="28"/>
        </w:rPr>
      </w:pPr>
      <w:r w:rsidRPr="00054D08">
        <w:rPr>
          <w:rFonts w:ascii="Times New Roman" w:hAnsi="Times New Roman" w:cs="Times New Roman"/>
          <w:b/>
          <w:sz w:val="28"/>
          <w:szCs w:val="28"/>
        </w:rPr>
        <w:lastRenderedPageBreak/>
        <w:t>OSNOVNA PRAVA IZ MATERIJALNIH DAVANJA</w:t>
      </w: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Osnovna prava iz materijalnih davanja djele se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dvije grupe i to na: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numPr>
          <w:ilvl w:val="0"/>
          <w:numId w:val="5"/>
        </w:num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osnovna materijalna davanja u socijalnoj zaštiti;</w:t>
      </w:r>
    </w:p>
    <w:p w:rsidR="007E63B6" w:rsidRPr="009F56B4" w:rsidRDefault="007E63B6" w:rsidP="007E63B6">
      <w:pPr>
        <w:numPr>
          <w:ilvl w:val="0"/>
          <w:numId w:val="5"/>
        </w:num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bCs/>
          <w:color w:val="000000"/>
          <w:sz w:val="24"/>
          <w:szCs w:val="24"/>
          <w:lang w:val="sl-SI"/>
        </w:rPr>
        <w:t>osnovna materijalna davanja u dječijoj zaštiti.</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sidRPr="009F56B4">
        <w:rPr>
          <w:rFonts w:ascii="Times New Roman" w:eastAsia="Times New Roman" w:hAnsi="Times New Roman" w:cs="Times New Roman"/>
          <w:bCs/>
          <w:color w:val="000000"/>
          <w:sz w:val="24"/>
          <w:szCs w:val="24"/>
          <w:lang w:val="sl-SI"/>
        </w:rPr>
        <w:t>U</w:t>
      </w:r>
      <w:r>
        <w:rPr>
          <w:rFonts w:ascii="Times New Roman" w:eastAsia="Times New Roman" w:hAnsi="Times New Roman" w:cs="Times New Roman"/>
          <w:bCs/>
          <w:color w:val="000000"/>
          <w:sz w:val="24"/>
          <w:szCs w:val="24"/>
          <w:lang w:val="sl-SI"/>
        </w:rPr>
        <w:t xml:space="preserve"> vezi sa pravima iz materijalnih</w:t>
      </w:r>
      <w:r w:rsidRPr="009F56B4">
        <w:rPr>
          <w:rFonts w:ascii="Times New Roman" w:eastAsia="Times New Roman" w:hAnsi="Times New Roman" w:cs="Times New Roman"/>
          <w:bCs/>
          <w:color w:val="000000"/>
          <w:sz w:val="24"/>
          <w:szCs w:val="24"/>
          <w:lang w:val="sl-SI"/>
        </w:rPr>
        <w:t xml:space="preserve"> davanja</w:t>
      </w:r>
      <w:r>
        <w:rPr>
          <w:rFonts w:ascii="Times New Roman" w:eastAsia="Times New Roman" w:hAnsi="Times New Roman" w:cs="Times New Roman"/>
          <w:bCs/>
          <w:color w:val="000000"/>
          <w:sz w:val="24"/>
          <w:szCs w:val="24"/>
          <w:lang w:val="sl-SI"/>
        </w:rPr>
        <w:t>,</w:t>
      </w:r>
      <w:r w:rsidRPr="009F56B4">
        <w:rPr>
          <w:rFonts w:ascii="Times New Roman" w:eastAsia="Times New Roman" w:hAnsi="Times New Roman" w:cs="Times New Roman"/>
          <w:bCs/>
          <w:color w:val="000000"/>
          <w:sz w:val="24"/>
          <w:szCs w:val="24"/>
          <w:lang w:val="sl-SI"/>
        </w:rPr>
        <w:t xml:space="preserve"> centri za socijalni rad sprovode upravni postupak, donose rješenje o priznavanju prava, vode evidenciju i dokumentaciju, učestvuju u organizaciji isplate sredstava, kao i u postupku preispitivanja prava. Ovi poslovi su pretežno administrativno-pravni, s obzirom da se ostvarivanje prava primarno temelji na materijalnim dokazima (javnim ispravama), oslanjajući se na primjenu pra</w:t>
      </w:r>
      <w:r>
        <w:rPr>
          <w:rFonts w:ascii="Times New Roman" w:eastAsia="Times New Roman" w:hAnsi="Times New Roman" w:cs="Times New Roman"/>
          <w:bCs/>
          <w:color w:val="000000"/>
          <w:sz w:val="24"/>
          <w:szCs w:val="24"/>
          <w:lang w:val="sl-SI"/>
        </w:rPr>
        <w:t>vila upravnog postupka.  Pored toga</w:t>
      </w:r>
      <w:r w:rsidRPr="009F56B4">
        <w:rPr>
          <w:rFonts w:ascii="Times New Roman" w:eastAsia="Times New Roman" w:hAnsi="Times New Roman" w:cs="Times New Roman"/>
          <w:bCs/>
          <w:color w:val="000000"/>
          <w:sz w:val="24"/>
          <w:szCs w:val="24"/>
          <w:lang w:val="sl-SI"/>
        </w:rPr>
        <w:t xml:space="preserve">, Zakonom o socijalnoj i dječjoj zaštiti propisano je da se prava na osnovna materijalna davanja (materijalno obezbjeđenje, ličnu invalidninu, dodatak za njegu i pomoć i jednokratnu novčanu pomoć) ostvaruju na osnovu dokaza i neposrednog uvida, te da je centar za socijalni rad u postupku ostvarivanja ovih prava dužan da sačini nalaz i mišljenje kojim se utvrđuju činjenice o kojima se ne vodi službena evidencija i koji služi kao dokazno sredstvo (član 78 Zakona o socijalnoj i dječjoj zaštiti).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sidRPr="009F56B4">
        <w:rPr>
          <w:rFonts w:ascii="Times New Roman" w:eastAsia="Times New Roman" w:hAnsi="Times New Roman" w:cs="Times New Roman"/>
          <w:bCs/>
          <w:color w:val="000000"/>
          <w:sz w:val="24"/>
          <w:szCs w:val="24"/>
          <w:lang w:val="sl-SI"/>
        </w:rPr>
        <w:t xml:space="preserve">Imajući u vidu širok spektar prava iz materijalnih davanja i nadležnosti centara za socijalni rad u njihovom ostvarivanju, rad na materijalnim davanjima zahtjeva značajna ulaganja stručnih resursa.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sidRPr="009F56B4">
        <w:rPr>
          <w:rFonts w:ascii="Times New Roman" w:eastAsia="Times New Roman" w:hAnsi="Times New Roman" w:cs="Times New Roman"/>
          <w:bCs/>
          <w:color w:val="000000"/>
          <w:sz w:val="24"/>
          <w:szCs w:val="24"/>
          <w:lang w:val="sl-SI"/>
        </w:rPr>
        <w:t>Informacioni sistem socijalnog staranja je donio značajne benefite stručnim radnicima na materijalnim davanjima zbog povezivanja sa bazama drugih sistema u cilju pribavljanja dokaza. Tako je ubrzan proces ostvarivanja prava na materijalna davanja, a korisnici su rasterećeni procedur</w:t>
      </w:r>
      <w:r>
        <w:rPr>
          <w:rFonts w:ascii="Times New Roman" w:eastAsia="Times New Roman" w:hAnsi="Times New Roman" w:cs="Times New Roman"/>
          <w:bCs/>
          <w:color w:val="000000"/>
          <w:sz w:val="24"/>
          <w:szCs w:val="24"/>
          <w:lang w:val="sl-SI"/>
        </w:rPr>
        <w:t xml:space="preserve">a prikupljanja brojnih dokaza. </w:t>
      </w:r>
      <w:r w:rsidRPr="009F56B4">
        <w:rPr>
          <w:rFonts w:ascii="Times New Roman" w:eastAsia="Times New Roman" w:hAnsi="Times New Roman" w:cs="Times New Roman"/>
          <w:bCs/>
          <w:color w:val="000000"/>
          <w:sz w:val="24"/>
          <w:szCs w:val="24"/>
          <w:lang w:val="sl-SI"/>
        </w:rPr>
        <w:t xml:space="preserve">    </w:t>
      </w: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sidRPr="009F56B4">
        <w:rPr>
          <w:rFonts w:ascii="Times New Roman" w:eastAsia="Times New Roman" w:hAnsi="Times New Roman" w:cs="Times New Roman"/>
          <w:bCs/>
          <w:color w:val="000000"/>
          <w:sz w:val="24"/>
          <w:szCs w:val="24"/>
          <w:lang w:val="sl-SI"/>
        </w:rPr>
        <w:t xml:space="preserve"> </w:t>
      </w: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Pr>
          <w:rFonts w:ascii="Times New Roman" w:eastAsia="Times New Roman" w:hAnsi="Times New Roman" w:cs="Times New Roman"/>
          <w:bCs/>
          <w:color w:val="000000"/>
          <w:sz w:val="24"/>
          <w:szCs w:val="24"/>
          <w:lang w:val="sl-SI"/>
        </w:rPr>
        <w:t xml:space="preserve">U daljem izlaganju posvetićemo pažnju ostvarivanju osnovnih prava iz materijalnih davanja u 2018. godini, pri čemu će nakon prikaza podataka o zastupljenosti korisnika po kategorijama svih prava u 2018. godini i uporednog prikaza podataka za 2017. godinu i 2018. godinu, fokus primarno biti na onim materijalnim davanjima kojima je obuhvaćen najveći broj korisnika i za čije ostvarivanje je neophodan stručni postupak.    </w:t>
      </w: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sidRPr="009F56B4">
        <w:rPr>
          <w:rFonts w:ascii="Times New Roman" w:eastAsia="Times New Roman" w:hAnsi="Times New Roman" w:cs="Times New Roman"/>
          <w:bCs/>
          <w:color w:val="000000"/>
          <w:sz w:val="24"/>
          <w:szCs w:val="24"/>
          <w:lang w:val="sl-SI"/>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Pr="009F56B4" w:rsidRDefault="007E63B6" w:rsidP="007E63B6">
      <w:pPr>
        <w:numPr>
          <w:ilvl w:val="1"/>
          <w:numId w:val="8"/>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OSNOVNA MATERIJALNA DAVANJA U SOCIJALNOJ ZAŠTITI</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sidRPr="009F56B4">
        <w:rPr>
          <w:rFonts w:ascii="Times New Roman" w:eastAsia="Times New Roman" w:hAnsi="Times New Roman" w:cs="Times New Roman"/>
          <w:bCs/>
          <w:color w:val="000000"/>
          <w:sz w:val="24"/>
          <w:szCs w:val="24"/>
          <w:lang w:val="sl-SI"/>
        </w:rPr>
        <w:t xml:space="preserve">Osnovna materijalna davanja u socijalnoj zaštiti su: </w:t>
      </w:r>
    </w:p>
    <w:p w:rsidR="007E63B6" w:rsidRPr="009F56B4" w:rsidRDefault="007E63B6" w:rsidP="007E63B6">
      <w:pPr>
        <w:numPr>
          <w:ilvl w:val="0"/>
          <w:numId w:val="6"/>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materijalno obezbjeđenje;</w:t>
      </w:r>
    </w:p>
    <w:p w:rsidR="007E63B6" w:rsidRPr="009F56B4" w:rsidRDefault="007E63B6" w:rsidP="007E63B6">
      <w:pPr>
        <w:numPr>
          <w:ilvl w:val="0"/>
          <w:numId w:val="6"/>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lična invalidnina;</w:t>
      </w:r>
    </w:p>
    <w:p w:rsidR="007E63B6" w:rsidRPr="009F56B4" w:rsidRDefault="007E63B6" w:rsidP="007E63B6">
      <w:pPr>
        <w:numPr>
          <w:ilvl w:val="0"/>
          <w:numId w:val="6"/>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dodatak za njegu i pomoć;</w:t>
      </w:r>
    </w:p>
    <w:p w:rsidR="007E63B6" w:rsidRPr="009F56B4" w:rsidRDefault="007E63B6" w:rsidP="007E63B6">
      <w:pPr>
        <w:numPr>
          <w:ilvl w:val="0"/>
          <w:numId w:val="6"/>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zdravstvena zaštita;</w:t>
      </w:r>
    </w:p>
    <w:p w:rsidR="007E63B6" w:rsidRPr="009F56B4" w:rsidRDefault="007E63B6" w:rsidP="007E63B6">
      <w:pPr>
        <w:numPr>
          <w:ilvl w:val="0"/>
          <w:numId w:val="6"/>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troškovi sahrane; </w:t>
      </w:r>
    </w:p>
    <w:p w:rsidR="007E63B6" w:rsidRPr="009F56B4" w:rsidRDefault="007E63B6" w:rsidP="007E63B6">
      <w:pPr>
        <w:numPr>
          <w:ilvl w:val="0"/>
          <w:numId w:val="6"/>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jednokratna novčana pomoć;</w:t>
      </w:r>
    </w:p>
    <w:p w:rsidR="007E63B6" w:rsidRPr="009F56B4" w:rsidRDefault="007E63B6" w:rsidP="007E63B6">
      <w:pPr>
        <w:numPr>
          <w:ilvl w:val="0"/>
          <w:numId w:val="6"/>
        </w:numPr>
        <w:shd w:val="clear" w:color="auto" w:fill="FFFFFF"/>
        <w:spacing w:after="0" w:line="240" w:lineRule="auto"/>
        <w:contextualSpacing/>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naknada</w:t>
      </w:r>
      <w:proofErr w:type="gramEnd"/>
      <w:r w:rsidRPr="009F56B4">
        <w:rPr>
          <w:rFonts w:ascii="Times New Roman" w:eastAsia="Times New Roman" w:hAnsi="Times New Roman" w:cs="Times New Roman"/>
          <w:sz w:val="24"/>
          <w:szCs w:val="24"/>
        </w:rPr>
        <w:t xml:space="preserve"> roditelju ili staratelju korisnika prava na ličnu invalidninu.</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Država može obezbjediti i druga materijalna davanja u socijalnoj zaštiti, u skladu </w:t>
      </w:r>
      <w:proofErr w:type="gramStart"/>
      <w:r w:rsidRPr="009F56B4">
        <w:rPr>
          <w:rFonts w:ascii="Times New Roman" w:eastAsia="Times New Roman" w:hAnsi="Times New Roman" w:cs="Times New Roman"/>
          <w:sz w:val="24"/>
          <w:szCs w:val="24"/>
        </w:rPr>
        <w:t>sa</w:t>
      </w:r>
      <w:proofErr w:type="gramEnd"/>
      <w:r w:rsidRPr="009F56B4">
        <w:rPr>
          <w:rFonts w:ascii="Times New Roman" w:eastAsia="Times New Roman" w:hAnsi="Times New Roman" w:cs="Times New Roman"/>
          <w:sz w:val="24"/>
          <w:szCs w:val="24"/>
        </w:rPr>
        <w:t xml:space="preserve"> materijalnim mogućnostima (prema članu 20 stav 2 Zakona o socijalnoj i dječjoj zaštiti).</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U tabeli broj</w:t>
      </w:r>
      <w:r>
        <w:rPr>
          <w:rFonts w:ascii="Times New Roman" w:eastAsia="Times New Roman" w:hAnsi="Times New Roman" w:cs="Times New Roman"/>
          <w:sz w:val="24"/>
          <w:szCs w:val="24"/>
        </w:rPr>
        <w:t xml:space="preserve"> 1.</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prikazana</w:t>
      </w:r>
      <w:proofErr w:type="gramEnd"/>
      <w:r w:rsidRPr="009F56B4">
        <w:rPr>
          <w:rFonts w:ascii="Times New Roman" w:eastAsia="Times New Roman" w:hAnsi="Times New Roman" w:cs="Times New Roman"/>
          <w:sz w:val="24"/>
          <w:szCs w:val="24"/>
        </w:rPr>
        <w:t xml:space="preserve"> je distribucija korisnika osnovnih materijalnih davanja u socijalnoj zaštiti u 2018.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prema kategorijama prava.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Tabela br.1</w:t>
      </w:r>
      <w:r w:rsidRPr="009F56B4">
        <w:rPr>
          <w:rFonts w:ascii="Times New Roman" w:eastAsia="Times New Roman" w:hAnsi="Times New Roman" w:cs="Times New Roman"/>
          <w:b/>
          <w:i/>
          <w:sz w:val="24"/>
          <w:szCs w:val="24"/>
        </w:rPr>
        <w:t xml:space="preserve">: Obuhvat korisnika osnovnim materijalnim davanjima u socijalnoj zaštiti u 2018. </w:t>
      </w:r>
      <w:proofErr w:type="gramStart"/>
      <w:r w:rsidRPr="009F56B4">
        <w:rPr>
          <w:rFonts w:ascii="Times New Roman" w:eastAsia="Times New Roman" w:hAnsi="Times New Roman" w:cs="Times New Roman"/>
          <w:b/>
          <w:i/>
          <w:sz w:val="24"/>
          <w:szCs w:val="24"/>
        </w:rPr>
        <w:t>godini</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
    <w:tbl>
      <w:tblPr>
        <w:tblW w:w="3160" w:type="dxa"/>
        <w:tblInd w:w="93" w:type="dxa"/>
        <w:tblLook w:val="04A0" w:firstRow="1" w:lastRow="0" w:firstColumn="1" w:lastColumn="0" w:noHBand="0" w:noVBand="1"/>
      </w:tblPr>
      <w:tblGrid>
        <w:gridCol w:w="1271"/>
        <w:gridCol w:w="961"/>
        <w:gridCol w:w="966"/>
      </w:tblGrid>
      <w:tr w:rsidR="007E63B6" w:rsidRPr="009F56B4" w:rsidTr="00D904E7">
        <w:trPr>
          <w:trHeight w:val="1113"/>
        </w:trPr>
        <w:tc>
          <w:tcPr>
            <w:tcW w:w="1240"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7E63B6" w:rsidRPr="009F56B4" w:rsidRDefault="007E63B6" w:rsidP="00D904E7">
            <w:pPr>
              <w:spacing w:after="0" w:line="240" w:lineRule="auto"/>
              <w:jc w:val="center"/>
              <w:rPr>
                <w:rFonts w:ascii="Times New Roman" w:eastAsia="Times New Roman" w:hAnsi="Times New Roman" w:cs="Times New Roman"/>
                <w:b/>
                <w:i/>
                <w:iCs/>
                <w:color w:val="000000"/>
                <w:sz w:val="20"/>
                <w:szCs w:val="20"/>
              </w:rPr>
            </w:pPr>
            <w:r w:rsidRPr="009F56B4">
              <w:rPr>
                <w:rFonts w:ascii="Times New Roman" w:eastAsia="Times New Roman" w:hAnsi="Times New Roman" w:cs="Times New Roman"/>
                <w:b/>
                <w:i/>
                <w:iCs/>
                <w:color w:val="000000"/>
                <w:sz w:val="20"/>
                <w:szCs w:val="20"/>
              </w:rPr>
              <w:t>Osnovna materijalna davanja u socijalnoj zaštiti</w:t>
            </w:r>
          </w:p>
        </w:tc>
        <w:tc>
          <w:tcPr>
            <w:tcW w:w="960" w:type="dxa"/>
            <w:tcBorders>
              <w:top w:val="single" w:sz="8" w:space="0" w:color="auto"/>
              <w:left w:val="nil"/>
              <w:bottom w:val="nil"/>
              <w:right w:val="single" w:sz="8" w:space="0" w:color="auto"/>
            </w:tcBorders>
            <w:shd w:val="clear" w:color="000000" w:fill="DBE5F1"/>
            <w:vAlign w:val="center"/>
            <w:hideMark/>
          </w:tcPr>
          <w:p w:rsidR="007E63B6" w:rsidRPr="009F56B4" w:rsidRDefault="007E63B6" w:rsidP="00D904E7">
            <w:pPr>
              <w:spacing w:after="0" w:line="240" w:lineRule="auto"/>
              <w:jc w:val="center"/>
              <w:rPr>
                <w:rFonts w:ascii="Times New Roman" w:eastAsia="Times New Roman" w:hAnsi="Times New Roman" w:cs="Times New Roman"/>
                <w:iCs/>
                <w:color w:val="000000"/>
                <w:sz w:val="20"/>
                <w:szCs w:val="20"/>
              </w:rPr>
            </w:pPr>
            <w:r w:rsidRPr="009F56B4">
              <w:rPr>
                <w:rFonts w:ascii="Times New Roman" w:eastAsia="Times New Roman" w:hAnsi="Times New Roman" w:cs="Times New Roman"/>
                <w:iCs/>
                <w:color w:val="000000"/>
                <w:sz w:val="20"/>
                <w:szCs w:val="20"/>
              </w:rPr>
              <w:t>Broj korisnika</w:t>
            </w:r>
          </w:p>
        </w:tc>
        <w:tc>
          <w:tcPr>
            <w:tcW w:w="960" w:type="dxa"/>
            <w:tcBorders>
              <w:top w:val="single" w:sz="8" w:space="0" w:color="auto"/>
              <w:left w:val="nil"/>
              <w:bottom w:val="nil"/>
              <w:right w:val="single" w:sz="8" w:space="0" w:color="auto"/>
            </w:tcBorders>
            <w:shd w:val="clear" w:color="000000" w:fill="DBE5F1"/>
            <w:vAlign w:val="center"/>
            <w:hideMark/>
          </w:tcPr>
          <w:p w:rsidR="007E63B6" w:rsidRPr="009F56B4" w:rsidRDefault="007E63B6" w:rsidP="00D904E7">
            <w:pPr>
              <w:spacing w:after="0" w:line="240" w:lineRule="auto"/>
              <w:jc w:val="center"/>
              <w:rPr>
                <w:rFonts w:ascii="Times New Roman" w:eastAsia="Times New Roman" w:hAnsi="Times New Roman" w:cs="Times New Roman"/>
                <w:iCs/>
                <w:color w:val="000000"/>
                <w:sz w:val="20"/>
                <w:szCs w:val="20"/>
              </w:rPr>
            </w:pPr>
            <w:r w:rsidRPr="009F56B4">
              <w:rPr>
                <w:rFonts w:ascii="Times New Roman" w:eastAsia="Times New Roman" w:hAnsi="Times New Roman" w:cs="Times New Roman"/>
                <w:iCs/>
                <w:color w:val="000000"/>
                <w:sz w:val="20"/>
                <w:szCs w:val="20"/>
              </w:rPr>
              <w:t>Procenat</w:t>
            </w:r>
          </w:p>
        </w:tc>
      </w:tr>
      <w:tr w:rsidR="007E63B6" w:rsidRPr="009F56B4" w:rsidTr="00D904E7">
        <w:trPr>
          <w:trHeight w:val="648"/>
        </w:trPr>
        <w:tc>
          <w:tcPr>
            <w:tcW w:w="1240" w:type="dxa"/>
            <w:tcBorders>
              <w:top w:val="nil"/>
              <w:left w:val="single" w:sz="8" w:space="0" w:color="auto"/>
              <w:bottom w:val="single" w:sz="8" w:space="0" w:color="auto"/>
              <w:right w:val="single" w:sz="8" w:space="0" w:color="auto"/>
            </w:tcBorders>
            <w:shd w:val="clear" w:color="000000" w:fill="C6D9F1"/>
            <w:vAlign w:val="center"/>
            <w:hideMark/>
          </w:tcPr>
          <w:p w:rsidR="007E63B6" w:rsidRPr="009F56B4" w:rsidRDefault="007E63B6" w:rsidP="00D904E7">
            <w:pPr>
              <w:spacing w:after="0" w:line="240" w:lineRule="auto"/>
              <w:jc w:val="center"/>
              <w:rPr>
                <w:rFonts w:ascii="Times New Roman" w:eastAsia="Times New Roman" w:hAnsi="Times New Roman" w:cs="Times New Roman"/>
                <w:iCs/>
                <w:color w:val="000000"/>
                <w:sz w:val="20"/>
                <w:szCs w:val="20"/>
              </w:rPr>
            </w:pPr>
            <w:r w:rsidRPr="009F56B4">
              <w:rPr>
                <w:rFonts w:ascii="Times New Roman" w:eastAsia="Times New Roman" w:hAnsi="Times New Roman" w:cs="Times New Roman"/>
                <w:iCs/>
                <w:color w:val="000000"/>
                <w:sz w:val="20"/>
                <w:szCs w:val="20"/>
              </w:rPr>
              <w:t>Materijalno obezbjeđenje</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31066</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53,52%</w:t>
            </w:r>
          </w:p>
        </w:tc>
      </w:tr>
      <w:tr w:rsidR="007E63B6" w:rsidRPr="009F56B4" w:rsidTr="00D904E7">
        <w:trPr>
          <w:trHeight w:val="543"/>
        </w:trPr>
        <w:tc>
          <w:tcPr>
            <w:tcW w:w="1240" w:type="dxa"/>
            <w:tcBorders>
              <w:top w:val="nil"/>
              <w:left w:val="single" w:sz="8" w:space="0" w:color="auto"/>
              <w:bottom w:val="single" w:sz="8" w:space="0" w:color="auto"/>
              <w:right w:val="single" w:sz="8" w:space="0" w:color="auto"/>
            </w:tcBorders>
            <w:shd w:val="clear" w:color="000000" w:fill="C6D9F1"/>
            <w:vAlign w:val="center"/>
            <w:hideMark/>
          </w:tcPr>
          <w:p w:rsidR="007E63B6" w:rsidRPr="009F56B4" w:rsidRDefault="007E63B6" w:rsidP="00D904E7">
            <w:pPr>
              <w:spacing w:after="0" w:line="240" w:lineRule="auto"/>
              <w:jc w:val="center"/>
              <w:rPr>
                <w:rFonts w:ascii="Times New Roman" w:eastAsia="Times New Roman" w:hAnsi="Times New Roman" w:cs="Times New Roman"/>
                <w:iCs/>
                <w:color w:val="000000"/>
                <w:sz w:val="20"/>
                <w:szCs w:val="20"/>
              </w:rPr>
            </w:pPr>
            <w:r w:rsidRPr="009F56B4">
              <w:rPr>
                <w:rFonts w:ascii="Times New Roman" w:eastAsia="Times New Roman" w:hAnsi="Times New Roman" w:cs="Times New Roman"/>
                <w:iCs/>
                <w:color w:val="000000"/>
                <w:sz w:val="20"/>
                <w:szCs w:val="20"/>
              </w:rPr>
              <w:t>Lična invalidnina</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2499</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4,30%</w:t>
            </w:r>
          </w:p>
        </w:tc>
      </w:tr>
      <w:tr w:rsidR="007E63B6" w:rsidRPr="009F56B4" w:rsidTr="00D904E7">
        <w:trPr>
          <w:trHeight w:val="693"/>
        </w:trPr>
        <w:tc>
          <w:tcPr>
            <w:tcW w:w="1240" w:type="dxa"/>
            <w:tcBorders>
              <w:top w:val="nil"/>
              <w:left w:val="single" w:sz="8" w:space="0" w:color="auto"/>
              <w:bottom w:val="single" w:sz="8" w:space="0" w:color="auto"/>
              <w:right w:val="single" w:sz="8" w:space="0" w:color="auto"/>
            </w:tcBorders>
            <w:shd w:val="clear" w:color="000000" w:fill="C6D9F1"/>
            <w:vAlign w:val="center"/>
            <w:hideMark/>
          </w:tcPr>
          <w:p w:rsidR="007E63B6" w:rsidRPr="009F56B4" w:rsidRDefault="007E63B6" w:rsidP="00D904E7">
            <w:pPr>
              <w:spacing w:after="0" w:line="240" w:lineRule="auto"/>
              <w:jc w:val="center"/>
              <w:rPr>
                <w:rFonts w:ascii="Times New Roman" w:eastAsia="Times New Roman" w:hAnsi="Times New Roman" w:cs="Times New Roman"/>
                <w:iCs/>
                <w:color w:val="000000"/>
                <w:sz w:val="20"/>
                <w:szCs w:val="20"/>
              </w:rPr>
            </w:pPr>
            <w:r w:rsidRPr="009F56B4">
              <w:rPr>
                <w:rFonts w:ascii="Times New Roman" w:eastAsia="Times New Roman" w:hAnsi="Times New Roman" w:cs="Times New Roman"/>
                <w:iCs/>
                <w:color w:val="000000"/>
                <w:sz w:val="20"/>
                <w:szCs w:val="20"/>
              </w:rPr>
              <w:t>Dodatak za njegu i pomoć</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15405</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26,54%</w:t>
            </w:r>
          </w:p>
        </w:tc>
      </w:tr>
      <w:tr w:rsidR="007E63B6" w:rsidRPr="009F56B4" w:rsidTr="00D904E7">
        <w:trPr>
          <w:trHeight w:val="525"/>
        </w:trPr>
        <w:tc>
          <w:tcPr>
            <w:tcW w:w="1240" w:type="dxa"/>
            <w:tcBorders>
              <w:top w:val="nil"/>
              <w:left w:val="single" w:sz="8" w:space="0" w:color="auto"/>
              <w:bottom w:val="single" w:sz="8" w:space="0" w:color="auto"/>
              <w:right w:val="single" w:sz="8" w:space="0" w:color="auto"/>
            </w:tcBorders>
            <w:shd w:val="clear" w:color="000000" w:fill="C6D9F1"/>
            <w:vAlign w:val="center"/>
            <w:hideMark/>
          </w:tcPr>
          <w:p w:rsidR="007E63B6" w:rsidRPr="009F56B4" w:rsidRDefault="007E63B6" w:rsidP="00D904E7">
            <w:pPr>
              <w:spacing w:after="0" w:line="240" w:lineRule="auto"/>
              <w:jc w:val="center"/>
              <w:rPr>
                <w:rFonts w:ascii="Times New Roman" w:eastAsia="Times New Roman" w:hAnsi="Times New Roman" w:cs="Times New Roman"/>
                <w:iCs/>
                <w:color w:val="000000"/>
                <w:sz w:val="20"/>
                <w:szCs w:val="20"/>
              </w:rPr>
            </w:pPr>
            <w:r w:rsidRPr="009F56B4">
              <w:rPr>
                <w:rFonts w:ascii="Times New Roman" w:eastAsia="Times New Roman" w:hAnsi="Times New Roman" w:cs="Times New Roman"/>
                <w:iCs/>
                <w:color w:val="000000"/>
                <w:sz w:val="20"/>
                <w:szCs w:val="20"/>
              </w:rPr>
              <w:t>Zdravstvena zaštita</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1317</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2,27%</w:t>
            </w:r>
          </w:p>
        </w:tc>
      </w:tr>
      <w:tr w:rsidR="007E63B6" w:rsidRPr="009F56B4" w:rsidTr="00D904E7">
        <w:trPr>
          <w:trHeight w:val="525"/>
        </w:trPr>
        <w:tc>
          <w:tcPr>
            <w:tcW w:w="1240" w:type="dxa"/>
            <w:tcBorders>
              <w:top w:val="nil"/>
              <w:left w:val="single" w:sz="8" w:space="0" w:color="auto"/>
              <w:bottom w:val="single" w:sz="8" w:space="0" w:color="auto"/>
              <w:right w:val="single" w:sz="8" w:space="0" w:color="auto"/>
            </w:tcBorders>
            <w:shd w:val="clear" w:color="000000" w:fill="C6D9F1"/>
            <w:vAlign w:val="center"/>
            <w:hideMark/>
          </w:tcPr>
          <w:p w:rsidR="007E63B6" w:rsidRPr="009F56B4" w:rsidRDefault="007E63B6" w:rsidP="00D904E7">
            <w:pPr>
              <w:spacing w:after="0" w:line="240" w:lineRule="auto"/>
              <w:jc w:val="center"/>
              <w:rPr>
                <w:rFonts w:ascii="Times New Roman" w:eastAsia="Times New Roman" w:hAnsi="Times New Roman" w:cs="Times New Roman"/>
                <w:iCs/>
                <w:color w:val="000000"/>
                <w:sz w:val="20"/>
                <w:szCs w:val="20"/>
              </w:rPr>
            </w:pPr>
            <w:r w:rsidRPr="009F56B4">
              <w:rPr>
                <w:rFonts w:ascii="Times New Roman" w:eastAsia="Times New Roman" w:hAnsi="Times New Roman" w:cs="Times New Roman"/>
                <w:iCs/>
                <w:color w:val="000000"/>
                <w:sz w:val="20"/>
                <w:szCs w:val="20"/>
              </w:rPr>
              <w:t>Troškovi sahrane</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573</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0,99%</w:t>
            </w:r>
          </w:p>
        </w:tc>
      </w:tr>
      <w:tr w:rsidR="007E63B6" w:rsidRPr="009F56B4" w:rsidTr="00D904E7">
        <w:trPr>
          <w:trHeight w:val="747"/>
        </w:trPr>
        <w:tc>
          <w:tcPr>
            <w:tcW w:w="1240" w:type="dxa"/>
            <w:tcBorders>
              <w:top w:val="nil"/>
              <w:left w:val="single" w:sz="8" w:space="0" w:color="auto"/>
              <w:bottom w:val="single" w:sz="8" w:space="0" w:color="auto"/>
              <w:right w:val="single" w:sz="8" w:space="0" w:color="auto"/>
            </w:tcBorders>
            <w:shd w:val="clear" w:color="000000" w:fill="C6D9F1"/>
            <w:vAlign w:val="center"/>
            <w:hideMark/>
          </w:tcPr>
          <w:p w:rsidR="007E63B6" w:rsidRPr="009F56B4" w:rsidRDefault="007E63B6" w:rsidP="00D904E7">
            <w:pPr>
              <w:spacing w:after="0" w:line="240" w:lineRule="auto"/>
              <w:jc w:val="center"/>
              <w:rPr>
                <w:rFonts w:ascii="Times New Roman" w:eastAsia="Times New Roman" w:hAnsi="Times New Roman" w:cs="Times New Roman"/>
                <w:iCs/>
                <w:color w:val="000000"/>
                <w:sz w:val="20"/>
                <w:szCs w:val="20"/>
              </w:rPr>
            </w:pPr>
            <w:r w:rsidRPr="009F56B4">
              <w:rPr>
                <w:rFonts w:ascii="Times New Roman" w:eastAsia="Times New Roman" w:hAnsi="Times New Roman" w:cs="Times New Roman"/>
                <w:iCs/>
                <w:color w:val="000000"/>
                <w:sz w:val="20"/>
                <w:szCs w:val="20"/>
              </w:rPr>
              <w:t>Jednokratna novčana pomoć</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5140</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8,86%</w:t>
            </w:r>
          </w:p>
        </w:tc>
      </w:tr>
      <w:tr w:rsidR="007E63B6" w:rsidRPr="009F56B4" w:rsidTr="00D904E7">
        <w:trPr>
          <w:trHeight w:val="1113"/>
        </w:trPr>
        <w:tc>
          <w:tcPr>
            <w:tcW w:w="1240" w:type="dxa"/>
            <w:tcBorders>
              <w:top w:val="nil"/>
              <w:left w:val="single" w:sz="8" w:space="0" w:color="auto"/>
              <w:bottom w:val="single" w:sz="8" w:space="0" w:color="auto"/>
              <w:right w:val="single" w:sz="8" w:space="0" w:color="auto"/>
            </w:tcBorders>
            <w:shd w:val="clear" w:color="000000" w:fill="C6D9F1"/>
            <w:vAlign w:val="center"/>
            <w:hideMark/>
          </w:tcPr>
          <w:p w:rsidR="007E63B6" w:rsidRPr="009F56B4" w:rsidRDefault="007E63B6" w:rsidP="00D904E7">
            <w:pPr>
              <w:spacing w:after="0" w:line="240" w:lineRule="auto"/>
              <w:jc w:val="center"/>
              <w:rPr>
                <w:rFonts w:ascii="Times New Roman" w:eastAsia="Times New Roman" w:hAnsi="Times New Roman" w:cs="Times New Roman"/>
                <w:iCs/>
                <w:color w:val="000000"/>
                <w:sz w:val="20"/>
                <w:szCs w:val="20"/>
              </w:rPr>
            </w:pPr>
            <w:r w:rsidRPr="009F56B4">
              <w:rPr>
                <w:rFonts w:ascii="Times New Roman" w:eastAsia="Times New Roman" w:hAnsi="Times New Roman" w:cs="Times New Roman"/>
                <w:iCs/>
                <w:color w:val="000000"/>
                <w:sz w:val="20"/>
                <w:szCs w:val="20"/>
              </w:rPr>
              <w:t>Naknada roditelju ili staratelju korisnika prava na LI</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2042</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3,52%</w:t>
            </w:r>
          </w:p>
        </w:tc>
      </w:tr>
      <w:tr w:rsidR="007E63B6" w:rsidRPr="009F56B4" w:rsidTr="00D904E7">
        <w:trPr>
          <w:trHeight w:val="315"/>
        </w:trPr>
        <w:tc>
          <w:tcPr>
            <w:tcW w:w="1240" w:type="dxa"/>
            <w:tcBorders>
              <w:top w:val="nil"/>
              <w:left w:val="single" w:sz="8" w:space="0" w:color="auto"/>
              <w:bottom w:val="single" w:sz="8" w:space="0" w:color="auto"/>
              <w:right w:val="single" w:sz="8" w:space="0" w:color="auto"/>
            </w:tcBorders>
            <w:shd w:val="clear" w:color="000000" w:fill="8DB3E2"/>
            <w:vAlign w:val="center"/>
            <w:hideMark/>
          </w:tcPr>
          <w:p w:rsidR="007E63B6" w:rsidRPr="009F56B4" w:rsidRDefault="007E63B6" w:rsidP="00D904E7">
            <w:pPr>
              <w:spacing w:after="0" w:line="240" w:lineRule="auto"/>
              <w:jc w:val="center"/>
              <w:rPr>
                <w:rFonts w:ascii="Times New Roman" w:eastAsia="Times New Roman" w:hAnsi="Times New Roman" w:cs="Times New Roman"/>
                <w:b/>
                <w:bCs/>
                <w:iCs/>
                <w:color w:val="000000"/>
                <w:sz w:val="20"/>
                <w:szCs w:val="20"/>
              </w:rPr>
            </w:pPr>
            <w:r w:rsidRPr="009F56B4">
              <w:rPr>
                <w:rFonts w:ascii="Times New Roman" w:eastAsia="Times New Roman" w:hAnsi="Times New Roman" w:cs="Times New Roman"/>
                <w:b/>
                <w:bCs/>
                <w:iCs/>
                <w:color w:val="000000"/>
                <w:sz w:val="20"/>
                <w:szCs w:val="20"/>
              </w:rPr>
              <w:t>Ukupno</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b/>
                <w:bCs/>
                <w:color w:val="000000"/>
                <w:sz w:val="20"/>
                <w:szCs w:val="20"/>
              </w:rPr>
            </w:pPr>
            <w:r w:rsidRPr="009F56B4">
              <w:rPr>
                <w:rFonts w:ascii="Times New Roman" w:eastAsia="Times New Roman" w:hAnsi="Times New Roman" w:cs="Times New Roman"/>
                <w:b/>
                <w:bCs/>
                <w:color w:val="000000"/>
                <w:sz w:val="20"/>
                <w:szCs w:val="20"/>
              </w:rPr>
              <w:t>58042</w:t>
            </w:r>
          </w:p>
        </w:tc>
        <w:tc>
          <w:tcPr>
            <w:tcW w:w="960" w:type="dxa"/>
            <w:tcBorders>
              <w:top w:val="nil"/>
              <w:left w:val="nil"/>
              <w:bottom w:val="single" w:sz="8" w:space="0" w:color="auto"/>
              <w:right w:val="single" w:sz="8" w:space="0" w:color="auto"/>
            </w:tcBorders>
            <w:shd w:val="clear" w:color="auto" w:fill="auto"/>
            <w:vAlign w:val="center"/>
            <w:hideMark/>
          </w:tcPr>
          <w:p w:rsidR="007E63B6" w:rsidRPr="009F56B4" w:rsidRDefault="007E63B6" w:rsidP="00D904E7">
            <w:pPr>
              <w:spacing w:after="0" w:line="240" w:lineRule="auto"/>
              <w:jc w:val="right"/>
              <w:rPr>
                <w:rFonts w:ascii="Times New Roman" w:eastAsia="Times New Roman" w:hAnsi="Times New Roman" w:cs="Times New Roman"/>
                <w:b/>
                <w:bCs/>
                <w:color w:val="000000"/>
                <w:sz w:val="20"/>
                <w:szCs w:val="20"/>
              </w:rPr>
            </w:pPr>
            <w:r w:rsidRPr="009F56B4">
              <w:rPr>
                <w:rFonts w:ascii="Times New Roman" w:eastAsia="Times New Roman" w:hAnsi="Times New Roman" w:cs="Times New Roman"/>
                <w:b/>
                <w:bCs/>
                <w:color w:val="000000"/>
                <w:sz w:val="20"/>
                <w:szCs w:val="20"/>
              </w:rPr>
              <w:t>100,00%</w:t>
            </w:r>
          </w:p>
        </w:tc>
      </w:tr>
    </w:tbl>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Podatke iz tabele ćemo radi bolje preglednosi prikazati i grafički.</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Grafikon br.1</w:t>
      </w:r>
      <w:r w:rsidRPr="009F56B4">
        <w:rPr>
          <w:rFonts w:ascii="Times New Roman" w:eastAsia="Times New Roman" w:hAnsi="Times New Roman" w:cs="Times New Roman"/>
          <w:b/>
          <w:i/>
          <w:sz w:val="24"/>
          <w:szCs w:val="24"/>
        </w:rPr>
        <w:t xml:space="preserve">: Struktura korisnika osnovnih materijalnih davanja u socijalnoj zaštiti u 2018. </w:t>
      </w:r>
      <w:proofErr w:type="gramStart"/>
      <w:r w:rsidRPr="009F56B4">
        <w:rPr>
          <w:rFonts w:ascii="Times New Roman" w:eastAsia="Times New Roman" w:hAnsi="Times New Roman" w:cs="Times New Roman"/>
          <w:b/>
          <w:i/>
          <w:sz w:val="24"/>
          <w:szCs w:val="24"/>
        </w:rPr>
        <w:t>godini</w:t>
      </w:r>
      <w:proofErr w:type="gramEnd"/>
      <w:r w:rsidRPr="009F56B4">
        <w:rPr>
          <w:rFonts w:ascii="Times New Roman" w:eastAsia="Times New Roman" w:hAnsi="Times New Roman" w:cs="Times New Roman"/>
          <w:b/>
          <w:i/>
          <w:sz w:val="24"/>
          <w:szCs w:val="24"/>
        </w:rPr>
        <w:t xml:space="preserve">, prema kategorijama prava.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7CADF21B" wp14:editId="382DEFCB">
            <wp:extent cx="4572000" cy="4487779"/>
            <wp:effectExtent l="0" t="0" r="19050" b="273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 tabele broj 1 i grafikona broj 1</w:t>
      </w:r>
      <w:r w:rsidRPr="009F56B4">
        <w:rPr>
          <w:rFonts w:ascii="Times New Roman" w:eastAsia="Times New Roman" w:hAnsi="Times New Roman" w:cs="Times New Roman"/>
          <w:sz w:val="24"/>
          <w:szCs w:val="24"/>
        </w:rPr>
        <w:t xml:space="preserve"> vidimo da su u strukturi korisnika osnovnih materijalnih davanja u socijalnoj zaštiti, razvrstanih prema kategorijama prava, </w:t>
      </w:r>
      <w:r w:rsidRPr="009F56B4">
        <w:rPr>
          <w:rFonts w:ascii="Times New Roman" w:eastAsia="Times New Roman" w:hAnsi="Times New Roman" w:cs="Times New Roman"/>
          <w:b/>
          <w:sz w:val="24"/>
          <w:szCs w:val="24"/>
        </w:rPr>
        <w:t>najbrojniji korisnici obuhvaćeni pravom na materijalno obezbjeđenje koji čine 53,52% ukupnog broja korisnika</w:t>
      </w:r>
      <w:r w:rsidRPr="009F56B4">
        <w:rPr>
          <w:rFonts w:ascii="Times New Roman" w:eastAsia="Times New Roman" w:hAnsi="Times New Roman" w:cs="Times New Roman"/>
          <w:sz w:val="24"/>
          <w:szCs w:val="24"/>
        </w:rPr>
        <w:t>, dok su korisnici drugih osnovnih materijalnih davanja iz socijalne zaštite zastupljeni sa 46,48%. Korisnici prava na dodatak za njegu i pomoć zastupljeni su sa 26</w:t>
      </w:r>
      <w:proofErr w:type="gramStart"/>
      <w:r w:rsidRPr="009F56B4">
        <w:rPr>
          <w:rFonts w:ascii="Times New Roman" w:eastAsia="Times New Roman" w:hAnsi="Times New Roman" w:cs="Times New Roman"/>
          <w:sz w:val="24"/>
          <w:szCs w:val="24"/>
        </w:rPr>
        <w:t>,54</w:t>
      </w:r>
      <w:proofErr w:type="gramEnd"/>
      <w:r w:rsidRPr="009F56B4">
        <w:rPr>
          <w:rFonts w:ascii="Times New Roman" w:eastAsia="Times New Roman" w:hAnsi="Times New Roman" w:cs="Times New Roman"/>
          <w:sz w:val="24"/>
          <w:szCs w:val="24"/>
        </w:rPr>
        <w:t xml:space="preserve">%, a korisnici prava na jednokratnu novčanu pomoć sa 9%. Značajan je i udio, </w:t>
      </w:r>
      <w:proofErr w:type="gramStart"/>
      <w:r w:rsidRPr="009F56B4">
        <w:rPr>
          <w:rFonts w:ascii="Times New Roman" w:eastAsia="Times New Roman" w:hAnsi="Times New Roman" w:cs="Times New Roman"/>
          <w:sz w:val="24"/>
          <w:szCs w:val="24"/>
        </w:rPr>
        <w:t>od</w:t>
      </w:r>
      <w:proofErr w:type="gramEnd"/>
      <w:r w:rsidRPr="009F56B4">
        <w:rPr>
          <w:rFonts w:ascii="Times New Roman" w:eastAsia="Times New Roman" w:hAnsi="Times New Roman" w:cs="Times New Roman"/>
          <w:sz w:val="24"/>
          <w:szCs w:val="24"/>
        </w:rPr>
        <w:t xml:space="preserve"> 4%, korisnika prava na ličnu invalidninu.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 grafikonu broj 2</w:t>
      </w:r>
      <w:r w:rsidRPr="009F56B4">
        <w:rPr>
          <w:rFonts w:ascii="Times New Roman" w:eastAsia="Times New Roman" w:hAnsi="Times New Roman" w:cs="Times New Roman"/>
          <w:sz w:val="24"/>
          <w:szCs w:val="24"/>
        </w:rPr>
        <w:t xml:space="preserve"> dajemo uporedni prikaz broja korisnika osnovnih materijalnih davanja iz socijalne zaštite, prema kategorijama prava, u 2017.</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i 2018.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Grafikon br. 2</w:t>
      </w:r>
      <w:r w:rsidRPr="009F56B4">
        <w:rPr>
          <w:rFonts w:ascii="Times New Roman" w:eastAsia="Times New Roman" w:hAnsi="Times New Roman" w:cs="Times New Roman"/>
          <w:b/>
          <w:i/>
          <w:sz w:val="24"/>
          <w:szCs w:val="24"/>
        </w:rPr>
        <w:t xml:space="preserve">: Odnos broja korisnika osnovnih materijalnih davanaja iz socijalne zaštite, prema kategorijama prava, u 2017. </w:t>
      </w:r>
      <w:proofErr w:type="gramStart"/>
      <w:r w:rsidRPr="009F56B4">
        <w:rPr>
          <w:rFonts w:ascii="Times New Roman" w:eastAsia="Times New Roman" w:hAnsi="Times New Roman" w:cs="Times New Roman"/>
          <w:b/>
          <w:i/>
          <w:sz w:val="24"/>
          <w:szCs w:val="24"/>
        </w:rPr>
        <w:t>godini</w:t>
      </w:r>
      <w:proofErr w:type="gramEnd"/>
      <w:r w:rsidRPr="009F56B4">
        <w:rPr>
          <w:rFonts w:ascii="Times New Roman" w:eastAsia="Times New Roman" w:hAnsi="Times New Roman" w:cs="Times New Roman"/>
          <w:b/>
          <w:i/>
          <w:sz w:val="24"/>
          <w:szCs w:val="24"/>
        </w:rPr>
        <w:t xml:space="preserve"> i 2018. </w:t>
      </w:r>
      <w:proofErr w:type="gramStart"/>
      <w:r w:rsidRPr="009F56B4">
        <w:rPr>
          <w:rFonts w:ascii="Times New Roman" w:eastAsia="Times New Roman" w:hAnsi="Times New Roman" w:cs="Times New Roman"/>
          <w:b/>
          <w:i/>
          <w:sz w:val="24"/>
          <w:szCs w:val="24"/>
        </w:rPr>
        <w:t>godini</w:t>
      </w:r>
      <w:proofErr w:type="gramEnd"/>
      <w:r w:rsidRPr="009F56B4">
        <w:rPr>
          <w:rFonts w:ascii="Times New Roman" w:eastAsia="Times New Roman" w:hAnsi="Times New Roman" w:cs="Times New Roman"/>
          <w:b/>
          <w:i/>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63D00D74" wp14:editId="3FA10251">
            <wp:extent cx="4487779" cy="3092116"/>
            <wp:effectExtent l="0" t="0" r="27305" b="133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Iz grafičkog prikaza jasno se uočava da je u 2018.</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prisutno povećanje broja korisnika osnovnih materijalnih davanja po gotovo svim kategorijama prava u odnosu na broj korisnika u 2017.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Izraženo u procentima, najveći porast evidentira se u broju korisnika prava na jednokratnu novčanu pomoć (uvećanje za 78</w:t>
      </w:r>
      <w:proofErr w:type="gramStart"/>
      <w:r w:rsidRPr="009F56B4">
        <w:rPr>
          <w:rFonts w:ascii="Times New Roman" w:eastAsia="Times New Roman" w:hAnsi="Times New Roman" w:cs="Times New Roman"/>
          <w:sz w:val="24"/>
          <w:szCs w:val="24"/>
        </w:rPr>
        <w:t>,66</w:t>
      </w:r>
      <w:proofErr w:type="gramEnd"/>
      <w:r w:rsidRPr="009F56B4">
        <w:rPr>
          <w:rFonts w:ascii="Times New Roman" w:eastAsia="Times New Roman" w:hAnsi="Times New Roman" w:cs="Times New Roman"/>
          <w:sz w:val="24"/>
          <w:szCs w:val="24"/>
        </w:rPr>
        <w:t xml:space="preserve">%) i broju korisnika prava na dodatak za njegu i pomoć (uvećanje za 40,49%). Smanjenje se bilježi samo u kategoriji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zdravstvenu zaštitu, koje je u 2018.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koristilo manje korisnika u poređenju sa 2017. </w:t>
      </w:r>
      <w:proofErr w:type="gramStart"/>
      <w:r w:rsidRPr="009F56B4">
        <w:rPr>
          <w:rFonts w:ascii="Times New Roman" w:eastAsia="Times New Roman" w:hAnsi="Times New Roman" w:cs="Times New Roman"/>
          <w:sz w:val="24"/>
          <w:szCs w:val="24"/>
        </w:rPr>
        <w:t>godinom</w:t>
      </w:r>
      <w:proofErr w:type="gramEnd"/>
      <w:r w:rsidRPr="009F56B4">
        <w:rPr>
          <w:rFonts w:ascii="Times New Roman" w:eastAsia="Times New Roman" w:hAnsi="Times New Roman" w:cs="Times New Roman"/>
          <w:sz w:val="24"/>
          <w:szCs w:val="24"/>
        </w:rPr>
        <w:t xml:space="preserve"> (umanjenje za 32,84%).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U daljem izlaganju detaljnije ćemo prikazati podatke za materijalna davanja u socijalnoj zaštiti kojima je obuhvaćen najveći broj korisnika, što je takođe jedan </w:t>
      </w:r>
      <w:proofErr w:type="gramStart"/>
      <w:r w:rsidRPr="009F56B4">
        <w:rPr>
          <w:rFonts w:ascii="Times New Roman" w:eastAsia="Times New Roman" w:hAnsi="Times New Roman" w:cs="Times New Roman"/>
          <w:sz w:val="24"/>
          <w:szCs w:val="24"/>
        </w:rPr>
        <w:t>od</w:t>
      </w:r>
      <w:proofErr w:type="gramEnd"/>
      <w:r w:rsidRPr="009F56B4">
        <w:rPr>
          <w:rFonts w:ascii="Times New Roman" w:eastAsia="Times New Roman" w:hAnsi="Times New Roman" w:cs="Times New Roman"/>
          <w:sz w:val="24"/>
          <w:szCs w:val="24"/>
        </w:rPr>
        <w:t xml:space="preserve"> pokazatelja težišta investiranja ljudskih resursa u centrima za socijalni rad i opterećenja zaposlenih stručnim postupcima vezanim za ostvarivanje prava na materijalna davanja.      </w:t>
      </w: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054D08" w:rsidRDefault="007E63B6" w:rsidP="007E63B6">
      <w:pPr>
        <w:pStyle w:val="ListParagraph"/>
        <w:numPr>
          <w:ilvl w:val="2"/>
          <w:numId w:val="8"/>
        </w:numPr>
        <w:shd w:val="clear" w:color="auto" w:fill="FFFFFF"/>
        <w:spacing w:after="0" w:line="240" w:lineRule="auto"/>
        <w:jc w:val="both"/>
        <w:rPr>
          <w:rFonts w:ascii="Times New Roman" w:eastAsia="Times New Roman" w:hAnsi="Times New Roman" w:cs="Times New Roman"/>
          <w:sz w:val="24"/>
          <w:szCs w:val="24"/>
          <w:u w:val="single"/>
        </w:rPr>
      </w:pPr>
      <w:r w:rsidRPr="00054D08">
        <w:rPr>
          <w:rFonts w:ascii="Times New Roman" w:eastAsia="Times New Roman" w:hAnsi="Times New Roman" w:cs="Times New Roman"/>
          <w:sz w:val="24"/>
          <w:szCs w:val="24"/>
          <w:u w:val="single"/>
        </w:rPr>
        <w:t>Materijalno obezbjeđenje</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u w:val="single"/>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može ostvariti pojedinac, odnosno porodica, ako je pojedinac, odnosno član porodice: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1) </w:t>
      </w:r>
      <w:proofErr w:type="gramStart"/>
      <w:r w:rsidRPr="009F56B4">
        <w:rPr>
          <w:rFonts w:ascii="Times New Roman" w:eastAsia="Times New Roman" w:hAnsi="Times New Roman" w:cs="Times New Roman"/>
          <w:sz w:val="24"/>
          <w:szCs w:val="24"/>
        </w:rPr>
        <w:t>nesposoban</w:t>
      </w:r>
      <w:proofErr w:type="gramEnd"/>
      <w:r w:rsidRPr="009F56B4">
        <w:rPr>
          <w:rFonts w:ascii="Times New Roman" w:eastAsia="Times New Roman" w:hAnsi="Times New Roman" w:cs="Times New Roman"/>
          <w:sz w:val="24"/>
          <w:szCs w:val="24"/>
        </w:rPr>
        <w:t xml:space="preserve"> za rad i privređivanje;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2) </w:t>
      </w:r>
      <w:proofErr w:type="gramStart"/>
      <w:r w:rsidRPr="009F56B4">
        <w:rPr>
          <w:rFonts w:ascii="Times New Roman" w:eastAsia="Times New Roman" w:hAnsi="Times New Roman" w:cs="Times New Roman"/>
          <w:sz w:val="24"/>
          <w:szCs w:val="24"/>
        </w:rPr>
        <w:t>sposoban</w:t>
      </w:r>
      <w:proofErr w:type="gramEnd"/>
      <w:r w:rsidRPr="009F56B4">
        <w:rPr>
          <w:rFonts w:ascii="Times New Roman" w:eastAsia="Times New Roman" w:hAnsi="Times New Roman" w:cs="Times New Roman"/>
          <w:sz w:val="24"/>
          <w:szCs w:val="24"/>
        </w:rPr>
        <w:t xml:space="preserve"> za rad, pod uslovom da je: </w:t>
      </w:r>
    </w:p>
    <w:p w:rsidR="007E63B6" w:rsidRPr="009F56B4" w:rsidRDefault="007E63B6" w:rsidP="007E63B6">
      <w:pPr>
        <w:numPr>
          <w:ilvl w:val="0"/>
          <w:numId w:val="9"/>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trudnica; </w:t>
      </w:r>
    </w:p>
    <w:p w:rsidR="007E63B6" w:rsidRPr="009F56B4" w:rsidRDefault="007E63B6" w:rsidP="007E63B6">
      <w:pPr>
        <w:numPr>
          <w:ilvl w:val="0"/>
          <w:numId w:val="9"/>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samohrani roditelj; </w:t>
      </w:r>
    </w:p>
    <w:p w:rsidR="007E63B6" w:rsidRPr="009F56B4" w:rsidRDefault="007E63B6" w:rsidP="007E63B6">
      <w:pPr>
        <w:numPr>
          <w:ilvl w:val="0"/>
          <w:numId w:val="9"/>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roditelj koji izdržava dijete, odnosno roditelj koji vrši produženo roditeljsko pravo, u skladu sa zakonom;  </w:t>
      </w:r>
    </w:p>
    <w:p w:rsidR="007E63B6" w:rsidRPr="009F56B4" w:rsidRDefault="007E63B6" w:rsidP="007E63B6">
      <w:pPr>
        <w:numPr>
          <w:ilvl w:val="0"/>
          <w:numId w:val="9"/>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lastRenderedPageBreak/>
        <w:t>lice koje je završilo školovanje po obrazovnom programu sa prilagođenim izvođenjem i dodatnom stručnom pomoći ili posebnom obrazovnom programu;</w:t>
      </w:r>
    </w:p>
    <w:p w:rsidR="007E63B6" w:rsidRPr="009F56B4" w:rsidRDefault="007E63B6" w:rsidP="007E63B6">
      <w:pPr>
        <w:numPr>
          <w:ilvl w:val="0"/>
          <w:numId w:val="9"/>
        </w:numPr>
        <w:shd w:val="clear" w:color="auto" w:fill="FFFFFF"/>
        <w:spacing w:after="0" w:line="240" w:lineRule="auto"/>
        <w:contextualSpacing/>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lice</w:t>
      </w:r>
      <w:proofErr w:type="gramEnd"/>
      <w:r w:rsidRPr="009F56B4">
        <w:rPr>
          <w:rFonts w:ascii="Times New Roman" w:eastAsia="Times New Roman" w:hAnsi="Times New Roman" w:cs="Times New Roman"/>
          <w:sz w:val="24"/>
          <w:szCs w:val="24"/>
        </w:rPr>
        <w:t xml:space="preserve"> poslije navršene 18. godine života, ako je na redovnom školovanju u srednjoj školi, do kraja roka propisanog za to školovanje;</w:t>
      </w:r>
    </w:p>
    <w:p w:rsidR="007E63B6" w:rsidRPr="009F56B4" w:rsidRDefault="007E63B6" w:rsidP="007E63B6">
      <w:pPr>
        <w:numPr>
          <w:ilvl w:val="0"/>
          <w:numId w:val="9"/>
        </w:numPr>
        <w:shd w:val="clear" w:color="auto" w:fill="FFFFFF"/>
        <w:spacing w:after="0" w:line="240" w:lineRule="auto"/>
        <w:contextualSpacing/>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dijete</w:t>
      </w:r>
      <w:proofErr w:type="gramEnd"/>
      <w:r w:rsidRPr="009F56B4">
        <w:rPr>
          <w:rFonts w:ascii="Times New Roman" w:eastAsia="Times New Roman" w:hAnsi="Times New Roman" w:cs="Times New Roman"/>
          <w:sz w:val="24"/>
          <w:szCs w:val="24"/>
        </w:rPr>
        <w:t xml:space="preserve"> bez roditeljskog staranja, odnosno lice koje je bilo dijete bez roditeljskog staranja, do zasnivanja radnog odnosa na vrijeme duže od šest mjeseci.</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utvrđuje se po osnovu prihoda i imovine svih članova porodičnog domaćinstva.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sz w:val="24"/>
          <w:szCs w:val="24"/>
        </w:rPr>
      </w:pPr>
      <w:r w:rsidRPr="009F56B4">
        <w:rPr>
          <w:rFonts w:ascii="Times New Roman" w:eastAsia="Times New Roman" w:hAnsi="Times New Roman" w:cs="Times New Roman"/>
          <w:sz w:val="24"/>
          <w:szCs w:val="24"/>
        </w:rPr>
        <w:t xml:space="preserve">Ključna restriktivna odredba u korišćenju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odnosi se na porodice u kojima su oba roditelja nezaposlena i radno sposobna – pravo im je ograničeno na devet mjeseci u dvanaestomjesečnom intervalu, s tim da nakon tri mjeseca mogu ponovo, ukoliko nije došlo do poboljšanja njihovih socijalno-ekonomskih prilika, da ostvare pravo na materijalno obezbjeđenje. Prema članu 27 Zakona o socijalnoj i dječjoj zaštiti pojedinac koji je sposoban za rad, u skladu sa propisima kojima se uređuju radni odnosi i penzijsko i invalidsko osiguranje, odnosno profesionalna rehabilitacija i zapošljavanje lica sa invaliditetom, ima pravo i dužnost da učestvuje u aktivnostima koje omogućavaju prevazilaženje njegove nepovoljne socijalne situacije, odnosno u sprovođenju mjera kojima se obezbjeđuje njegova socijalna uključenost. </w:t>
      </w:r>
      <w:r w:rsidRPr="009F56B4">
        <w:rPr>
          <w:rFonts w:ascii="Times New Roman" w:eastAsia="Times New Roman" w:hAnsi="Times New Roman" w:cs="Times New Roman"/>
          <w:b/>
          <w:sz w:val="24"/>
          <w:szCs w:val="24"/>
        </w:rPr>
        <w:t xml:space="preserve">Centar za socijalni rad je dužan da u saradnji </w:t>
      </w:r>
      <w:proofErr w:type="gramStart"/>
      <w:r w:rsidRPr="009F56B4">
        <w:rPr>
          <w:rFonts w:ascii="Times New Roman" w:eastAsia="Times New Roman" w:hAnsi="Times New Roman" w:cs="Times New Roman"/>
          <w:b/>
          <w:sz w:val="24"/>
          <w:szCs w:val="24"/>
        </w:rPr>
        <w:t>sa</w:t>
      </w:r>
      <w:proofErr w:type="gramEnd"/>
      <w:r w:rsidRPr="009F56B4">
        <w:rPr>
          <w:rFonts w:ascii="Times New Roman" w:eastAsia="Times New Roman" w:hAnsi="Times New Roman" w:cs="Times New Roman"/>
          <w:b/>
          <w:sz w:val="24"/>
          <w:szCs w:val="24"/>
        </w:rPr>
        <w:t xml:space="preserve"> Zavodom za zapošljavanje i radno sposobnim korisnikom materijalnog obezbjeđenja sačini individualni plan aktivacije. </w:t>
      </w:r>
      <w:proofErr w:type="gramStart"/>
      <w:r w:rsidRPr="009F56B4">
        <w:rPr>
          <w:rFonts w:ascii="Times New Roman" w:eastAsia="Times New Roman" w:hAnsi="Times New Roman" w:cs="Times New Roman"/>
          <w:sz w:val="24"/>
          <w:szCs w:val="24"/>
        </w:rPr>
        <w:t>Individualni plan aktivacije je plan o aktivnom prevazilaženju nepovoljne socijalne situacije radno sposobnog korisnika materijalnog obezbjeđenja, koji sadrži aktivnosti i obaveze korisnika.</w:t>
      </w:r>
      <w:proofErr w:type="gramEnd"/>
      <w:r w:rsidRPr="009F56B4">
        <w:rPr>
          <w:rFonts w:ascii="Times New Roman" w:eastAsia="Times New Roman" w:hAnsi="Times New Roman" w:cs="Times New Roman"/>
          <w:sz w:val="24"/>
          <w:szCs w:val="24"/>
        </w:rPr>
        <w:t xml:space="preserve"> </w:t>
      </w:r>
      <w:r w:rsidRPr="009F56B4">
        <w:rPr>
          <w:rFonts w:ascii="Times New Roman" w:eastAsia="Times New Roman" w:hAnsi="Times New Roman" w:cs="Times New Roman"/>
          <w:b/>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Visina osnova za ostvarivanje prava na materijalno obezbjeđenje i visina materijalnih davanja iz socijalne i dječje zaštite usklađuje se polugodišnje (početkom januara i početkom jula tekuće godine) sa kretanjem troškova života i prosječne zarade zaposlenih na teritoriji Crne Gore na osnovu statističkih podataka za prethodno polugodište u procentu koji predstavlja zbir polovine procenta rasta, odnosno pada troškova života i polovine procenta rasta, odnosno pada zarada. </w:t>
      </w:r>
      <w:proofErr w:type="gramStart"/>
      <w:r w:rsidRPr="009F56B4">
        <w:rPr>
          <w:rFonts w:ascii="Times New Roman" w:eastAsia="Times New Roman" w:hAnsi="Times New Roman" w:cs="Times New Roman"/>
          <w:sz w:val="24"/>
          <w:szCs w:val="24"/>
        </w:rPr>
        <w:t>Akt o usklađivanju mjesečnih novčanih primanja donosi nadležni organ državne uprave (šlan 38 Zakona o socijalnoj i dječjoj zaštiti).</w:t>
      </w:r>
      <w:proofErr w:type="gramEnd"/>
      <w:r w:rsidRPr="009F56B4">
        <w:rPr>
          <w:rFonts w:ascii="Times New Roman" w:eastAsia="Times New Roman" w:hAnsi="Times New Roman" w:cs="Times New Roman"/>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Odlukom Ministarstva rada i socijalnog staranja o usklađivanju visine osnova za ostvarivanje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i visine materijalnih davanja iz socijalne i dječje zaštite (“Službeni list Crne Gore”, br. 060/18 od 07.09.2018. godine), utvrđeno je da </w:t>
      </w:r>
      <w:r w:rsidRPr="009F56B4">
        <w:rPr>
          <w:rFonts w:ascii="Times New Roman" w:eastAsia="Times New Roman" w:hAnsi="Times New Roman" w:cs="Times New Roman"/>
          <w:b/>
          <w:sz w:val="24"/>
          <w:szCs w:val="24"/>
        </w:rPr>
        <w:t>visina osnova za ostvarivanje prava na materijalno obezbjeđenje</w:t>
      </w:r>
      <w:r w:rsidRPr="009F56B4">
        <w:rPr>
          <w:rFonts w:ascii="Times New Roman" w:eastAsia="Times New Roman" w:hAnsi="Times New Roman" w:cs="Times New Roman"/>
          <w:sz w:val="24"/>
          <w:szCs w:val="24"/>
        </w:rPr>
        <w:t xml:space="preserve"> iznosi za: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pojedinca</w:t>
      </w:r>
      <w:proofErr w:type="gramEnd"/>
      <w:r w:rsidRPr="009F56B4">
        <w:rPr>
          <w:rFonts w:ascii="Times New Roman" w:eastAsia="Times New Roman" w:hAnsi="Times New Roman" w:cs="Times New Roman"/>
          <w:sz w:val="24"/>
          <w:szCs w:val="24"/>
        </w:rPr>
        <w:t xml:space="preserve"> 67,62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jednim članom 67,62;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dva člana 81,20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tri člana 97,46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četiri člana 115,06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pet i više članova 128,55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b/>
          <w:sz w:val="24"/>
          <w:szCs w:val="24"/>
        </w:rPr>
        <w:t>Visina materijalnog obezbjeđenja za pojedinca odnosno porodicu koji nemaju prihode iznosi mjesečno</w:t>
      </w:r>
      <w:r w:rsidRPr="009F56B4">
        <w:rPr>
          <w:rFonts w:ascii="Times New Roman" w:eastAsia="Times New Roman" w:hAnsi="Times New Roman" w:cs="Times New Roman"/>
          <w:sz w:val="24"/>
          <w:szCs w:val="24"/>
        </w:rPr>
        <w:t>, za: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lastRenderedPageBreak/>
        <w:t xml:space="preserve">- </w:t>
      </w:r>
      <w:proofErr w:type="gramStart"/>
      <w:r w:rsidRPr="009F56B4">
        <w:rPr>
          <w:rFonts w:ascii="Times New Roman" w:eastAsia="Times New Roman" w:hAnsi="Times New Roman" w:cs="Times New Roman"/>
          <w:sz w:val="24"/>
          <w:szCs w:val="24"/>
        </w:rPr>
        <w:t>pojedinca</w:t>
      </w:r>
      <w:proofErr w:type="gramEnd"/>
      <w:r w:rsidRPr="009F56B4">
        <w:rPr>
          <w:rFonts w:ascii="Times New Roman" w:eastAsia="Times New Roman" w:hAnsi="Times New Roman" w:cs="Times New Roman"/>
          <w:sz w:val="24"/>
          <w:szCs w:val="24"/>
        </w:rPr>
        <w:t xml:space="preserve"> 67,62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jednim članom 67,62;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dva člana 81,20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tri člana 97,46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četiri člana 115,06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porodicu</w:t>
      </w:r>
      <w:proofErr w:type="gramEnd"/>
      <w:r w:rsidRPr="009F56B4">
        <w:rPr>
          <w:rFonts w:ascii="Times New Roman" w:eastAsia="Times New Roman" w:hAnsi="Times New Roman" w:cs="Times New Roman"/>
          <w:sz w:val="24"/>
          <w:szCs w:val="24"/>
        </w:rPr>
        <w:t xml:space="preserve"> sa pet i više članova 128,55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Visina materijalnog obezbjeđenja za lice koje je bilo dijete bez roditeljskog staranja iznosi mjesečno 128</w:t>
      </w:r>
      <w:proofErr w:type="gramStart"/>
      <w:r w:rsidRPr="009F56B4">
        <w:rPr>
          <w:rFonts w:ascii="Times New Roman" w:eastAsia="Times New Roman" w:hAnsi="Times New Roman" w:cs="Times New Roman"/>
          <w:sz w:val="24"/>
          <w:szCs w:val="24"/>
        </w:rPr>
        <w:t>,55</w:t>
      </w:r>
      <w:proofErr w:type="gramEnd"/>
      <w:r w:rsidRPr="009F56B4">
        <w:rPr>
          <w:rFonts w:ascii="Times New Roman" w:eastAsia="Times New Roman" w:hAnsi="Times New Roman" w:cs="Times New Roman"/>
          <w:sz w:val="24"/>
          <w:szCs w:val="24"/>
        </w:rPr>
        <w:t xml:space="preserve"> eura.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 tabeli broj 2</w:t>
      </w:r>
      <w:r w:rsidRPr="009F56B4">
        <w:rPr>
          <w:rFonts w:ascii="Times New Roman" w:eastAsia="Times New Roman" w:hAnsi="Times New Roman" w:cs="Times New Roman"/>
          <w:sz w:val="24"/>
          <w:szCs w:val="24"/>
        </w:rPr>
        <w:t xml:space="preserve"> prikazujemo kretanje ukupnog broja porodica i lica korisnika materijalnog obezbjeđenja tokom 2018.</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a u skladu sa podacima koje su dostavili centri za socijalni rad.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Tabela br.2</w:t>
      </w:r>
      <w:r w:rsidRPr="009F56B4">
        <w:rPr>
          <w:rFonts w:ascii="Times New Roman" w:eastAsia="Times New Roman" w:hAnsi="Times New Roman" w:cs="Times New Roman"/>
          <w:b/>
          <w:i/>
          <w:sz w:val="24"/>
          <w:szCs w:val="24"/>
        </w:rPr>
        <w:t xml:space="preserve">: Mjesečni pregled broja porodica i broja lica korisnika materijalnog obezbjeđenja u 2018. </w:t>
      </w:r>
      <w:proofErr w:type="gramStart"/>
      <w:r w:rsidRPr="009F56B4">
        <w:rPr>
          <w:rFonts w:ascii="Times New Roman" w:eastAsia="Times New Roman" w:hAnsi="Times New Roman" w:cs="Times New Roman"/>
          <w:b/>
          <w:i/>
          <w:sz w:val="24"/>
          <w:szCs w:val="24"/>
        </w:rPr>
        <w:t>godini</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tbl>
      <w:tblPr>
        <w:tblW w:w="7035" w:type="dxa"/>
        <w:tblInd w:w="93" w:type="dxa"/>
        <w:tblLook w:val="04A0" w:firstRow="1" w:lastRow="0" w:firstColumn="1" w:lastColumn="0" w:noHBand="0" w:noVBand="1"/>
      </w:tblPr>
      <w:tblGrid>
        <w:gridCol w:w="2535"/>
        <w:gridCol w:w="2250"/>
        <w:gridCol w:w="2250"/>
      </w:tblGrid>
      <w:tr w:rsidR="007E63B6" w:rsidRPr="009F56B4" w:rsidTr="00D904E7">
        <w:trPr>
          <w:trHeight w:val="330"/>
        </w:trPr>
        <w:tc>
          <w:tcPr>
            <w:tcW w:w="2535" w:type="dxa"/>
            <w:tcBorders>
              <w:top w:val="single" w:sz="8" w:space="0" w:color="auto"/>
              <w:left w:val="single" w:sz="8" w:space="0" w:color="auto"/>
              <w:bottom w:val="nil"/>
              <w:right w:val="nil"/>
            </w:tcBorders>
            <w:shd w:val="clear" w:color="000000" w:fill="DCE6F1"/>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24"/>
                <w:szCs w:val="24"/>
              </w:rPr>
            </w:pPr>
            <w:r w:rsidRPr="009F56B4">
              <w:rPr>
                <w:rFonts w:ascii="Times New Roman" w:eastAsia="Times New Roman" w:hAnsi="Times New Roman" w:cs="Times New Roman"/>
                <w:b/>
                <w:bCs/>
                <w:color w:val="000000"/>
                <w:sz w:val="24"/>
                <w:szCs w:val="24"/>
              </w:rPr>
              <w:t>MJESEC 2018. godine</w:t>
            </w:r>
          </w:p>
        </w:tc>
        <w:tc>
          <w:tcPr>
            <w:tcW w:w="2250" w:type="dxa"/>
            <w:tcBorders>
              <w:top w:val="single" w:sz="8" w:space="0" w:color="auto"/>
              <w:left w:val="single" w:sz="8" w:space="0" w:color="auto"/>
              <w:bottom w:val="nil"/>
              <w:right w:val="single" w:sz="8"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b/>
                <w:bCs/>
                <w:color w:val="000000"/>
                <w:sz w:val="24"/>
                <w:szCs w:val="24"/>
              </w:rPr>
            </w:pPr>
            <w:r w:rsidRPr="009F56B4">
              <w:rPr>
                <w:rFonts w:ascii="Times New Roman" w:eastAsia="Times New Roman" w:hAnsi="Times New Roman" w:cs="Times New Roman"/>
                <w:b/>
                <w:bCs/>
                <w:color w:val="000000"/>
                <w:sz w:val="24"/>
                <w:szCs w:val="24"/>
              </w:rPr>
              <w:t>BROJ PORODICA</w:t>
            </w:r>
          </w:p>
        </w:tc>
        <w:tc>
          <w:tcPr>
            <w:tcW w:w="2250" w:type="dxa"/>
            <w:tcBorders>
              <w:top w:val="single" w:sz="8" w:space="0" w:color="auto"/>
              <w:left w:val="nil"/>
              <w:bottom w:val="nil"/>
              <w:right w:val="single" w:sz="8"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b/>
                <w:bCs/>
                <w:color w:val="000000"/>
                <w:sz w:val="24"/>
                <w:szCs w:val="24"/>
              </w:rPr>
            </w:pPr>
            <w:r w:rsidRPr="009F56B4">
              <w:rPr>
                <w:rFonts w:ascii="Times New Roman" w:eastAsia="Times New Roman" w:hAnsi="Times New Roman" w:cs="Times New Roman"/>
                <w:b/>
                <w:bCs/>
                <w:color w:val="000000"/>
                <w:sz w:val="24"/>
                <w:szCs w:val="24"/>
              </w:rPr>
              <w:t>BROJ LICA</w:t>
            </w:r>
          </w:p>
        </w:tc>
      </w:tr>
      <w:tr w:rsidR="007E63B6" w:rsidRPr="009F56B4" w:rsidTr="00D904E7">
        <w:trPr>
          <w:trHeight w:val="315"/>
        </w:trPr>
        <w:tc>
          <w:tcPr>
            <w:tcW w:w="2535" w:type="dxa"/>
            <w:tcBorders>
              <w:top w:val="single" w:sz="8" w:space="0" w:color="auto"/>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Januar</w:t>
            </w:r>
          </w:p>
        </w:tc>
        <w:tc>
          <w:tcPr>
            <w:tcW w:w="225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9177</w:t>
            </w:r>
          </w:p>
        </w:tc>
        <w:tc>
          <w:tcPr>
            <w:tcW w:w="2250" w:type="dxa"/>
            <w:tcBorders>
              <w:top w:val="single" w:sz="8" w:space="0" w:color="auto"/>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28890</w:t>
            </w:r>
          </w:p>
        </w:tc>
      </w:tr>
      <w:tr w:rsidR="007E63B6" w:rsidRPr="009F56B4" w:rsidTr="00D904E7">
        <w:trPr>
          <w:trHeight w:val="315"/>
        </w:trPr>
        <w:tc>
          <w:tcPr>
            <w:tcW w:w="2535" w:type="dxa"/>
            <w:tcBorders>
              <w:top w:val="single" w:sz="4" w:space="0" w:color="auto"/>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Februar</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9282</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29118</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Mart</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9321</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29331</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April</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9391</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29778</w:t>
            </w:r>
          </w:p>
        </w:tc>
      </w:tr>
      <w:tr w:rsidR="007E63B6" w:rsidRPr="009F56B4" w:rsidTr="00D904E7">
        <w:trPr>
          <w:trHeight w:val="315"/>
        </w:trPr>
        <w:tc>
          <w:tcPr>
            <w:tcW w:w="2535" w:type="dxa"/>
            <w:tcBorders>
              <w:top w:val="single" w:sz="4" w:space="0" w:color="auto"/>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 xml:space="preserve">Maj </w:t>
            </w:r>
          </w:p>
        </w:tc>
        <w:tc>
          <w:tcPr>
            <w:tcW w:w="225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9507</w:t>
            </w:r>
          </w:p>
        </w:tc>
        <w:tc>
          <w:tcPr>
            <w:tcW w:w="2250" w:type="dxa"/>
            <w:tcBorders>
              <w:top w:val="single" w:sz="4" w:space="0" w:color="auto"/>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30206</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Jun</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9495</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30198</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Jul</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9429</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29984</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Avgust</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9413</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29980</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Septembar</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9328</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29330</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Oktobar</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9279</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29729</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Novembar</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9178</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29116</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Decembar</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9151</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29104</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b/>
                <w:bCs/>
                <w:color w:val="000000"/>
                <w:sz w:val="24"/>
                <w:szCs w:val="24"/>
              </w:rPr>
            </w:pPr>
            <w:r w:rsidRPr="009F56B4">
              <w:rPr>
                <w:rFonts w:ascii="Times New Roman" w:eastAsia="Times New Roman" w:hAnsi="Times New Roman" w:cs="Times New Roman"/>
                <w:b/>
                <w:bCs/>
                <w:color w:val="000000"/>
                <w:sz w:val="24"/>
                <w:szCs w:val="24"/>
              </w:rPr>
              <w:t xml:space="preserve">Promjena </w:t>
            </w:r>
          </w:p>
          <w:p w:rsidR="007E63B6" w:rsidRPr="009F56B4" w:rsidRDefault="007E63B6" w:rsidP="00D904E7">
            <w:pPr>
              <w:spacing w:after="0" w:line="240" w:lineRule="auto"/>
              <w:rPr>
                <w:rFonts w:ascii="Times New Roman" w:eastAsia="Times New Roman" w:hAnsi="Times New Roman" w:cs="Times New Roman"/>
                <w:b/>
                <w:bCs/>
                <w:color w:val="000000"/>
                <w:sz w:val="24"/>
                <w:szCs w:val="24"/>
              </w:rPr>
            </w:pPr>
            <w:r w:rsidRPr="009F56B4">
              <w:rPr>
                <w:rFonts w:ascii="Times New Roman" w:eastAsia="Times New Roman" w:hAnsi="Times New Roman" w:cs="Times New Roman"/>
                <w:color w:val="000000"/>
                <w:sz w:val="24"/>
                <w:szCs w:val="24"/>
              </w:rPr>
              <w:t>Januar-Decembar</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b/>
                <w:bCs/>
                <w:color w:val="000000"/>
                <w:sz w:val="24"/>
                <w:szCs w:val="24"/>
              </w:rPr>
            </w:pPr>
            <w:r w:rsidRPr="009F56B4">
              <w:rPr>
                <w:rFonts w:ascii="Times New Roman" w:eastAsia="Times New Roman" w:hAnsi="Times New Roman" w:cs="Times New Roman"/>
                <w:b/>
                <w:bCs/>
                <w:color w:val="000000"/>
                <w:sz w:val="24"/>
                <w:szCs w:val="24"/>
              </w:rPr>
              <w:t>-26</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b/>
                <w:color w:val="000000"/>
                <w:sz w:val="24"/>
                <w:szCs w:val="24"/>
              </w:rPr>
            </w:pPr>
            <w:r w:rsidRPr="009F56B4">
              <w:rPr>
                <w:rFonts w:ascii="Times New Roman" w:eastAsia="Times New Roman" w:hAnsi="Times New Roman" w:cs="Times New Roman"/>
                <w:b/>
                <w:color w:val="000000"/>
                <w:sz w:val="24"/>
                <w:szCs w:val="24"/>
              </w:rPr>
              <w:t>214</w:t>
            </w:r>
          </w:p>
        </w:tc>
      </w:tr>
      <w:tr w:rsidR="007E63B6" w:rsidRPr="009F56B4" w:rsidTr="00D904E7">
        <w:trPr>
          <w:trHeight w:val="315"/>
        </w:trPr>
        <w:tc>
          <w:tcPr>
            <w:tcW w:w="2535" w:type="dxa"/>
            <w:tcBorders>
              <w:top w:val="nil"/>
              <w:left w:val="single" w:sz="8" w:space="0" w:color="auto"/>
              <w:bottom w:val="single" w:sz="4"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Promjene %</w:t>
            </w:r>
          </w:p>
        </w:tc>
        <w:tc>
          <w:tcPr>
            <w:tcW w:w="2250" w:type="dxa"/>
            <w:tcBorders>
              <w:top w:val="nil"/>
              <w:left w:val="single" w:sz="8" w:space="0" w:color="auto"/>
              <w:bottom w:val="single" w:sz="4"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 xml:space="preserve">0.28 % </w:t>
            </w:r>
          </w:p>
        </w:tc>
        <w:tc>
          <w:tcPr>
            <w:tcW w:w="2250"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0.74%</w:t>
            </w:r>
          </w:p>
        </w:tc>
      </w:tr>
      <w:tr w:rsidR="007E63B6" w:rsidRPr="009F56B4" w:rsidTr="00D904E7">
        <w:trPr>
          <w:trHeight w:val="330"/>
        </w:trPr>
        <w:tc>
          <w:tcPr>
            <w:tcW w:w="2535" w:type="dxa"/>
            <w:tcBorders>
              <w:top w:val="single" w:sz="4" w:space="0" w:color="auto"/>
              <w:left w:val="single" w:sz="8" w:space="0" w:color="auto"/>
              <w:bottom w:val="single" w:sz="8" w:space="0" w:color="auto"/>
              <w:right w:val="nil"/>
            </w:tcBorders>
            <w:shd w:val="clear" w:color="000000" w:fill="DCE6F1"/>
            <w:hideMark/>
          </w:tcPr>
          <w:p w:rsidR="007E63B6" w:rsidRPr="009F56B4" w:rsidRDefault="007E63B6" w:rsidP="00D904E7">
            <w:pPr>
              <w:spacing w:after="0" w:line="240" w:lineRule="auto"/>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Prosjek</w:t>
            </w:r>
          </w:p>
        </w:tc>
        <w:tc>
          <w:tcPr>
            <w:tcW w:w="2250" w:type="dxa"/>
            <w:tcBorders>
              <w:top w:val="nil"/>
              <w:left w:val="single" w:sz="8" w:space="0" w:color="auto"/>
              <w:bottom w:val="single" w:sz="8" w:space="0" w:color="auto"/>
              <w:right w:val="single" w:sz="8" w:space="0" w:color="auto"/>
            </w:tcBorders>
            <w:shd w:val="clear" w:color="auto" w:fill="auto"/>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9329</w:t>
            </w:r>
          </w:p>
        </w:tc>
        <w:tc>
          <w:tcPr>
            <w:tcW w:w="2250" w:type="dxa"/>
            <w:tcBorders>
              <w:top w:val="nil"/>
              <w:left w:val="nil"/>
              <w:bottom w:val="single" w:sz="8"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4"/>
                <w:szCs w:val="24"/>
              </w:rPr>
            </w:pPr>
            <w:r w:rsidRPr="009F56B4">
              <w:rPr>
                <w:rFonts w:ascii="Times New Roman" w:eastAsia="Times New Roman" w:hAnsi="Times New Roman" w:cs="Times New Roman"/>
                <w:color w:val="000000"/>
                <w:sz w:val="24"/>
                <w:szCs w:val="24"/>
              </w:rPr>
              <w:t>29564</w:t>
            </w:r>
          </w:p>
        </w:tc>
      </w:tr>
    </w:tbl>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Iz tabele vidimo da se broj porodica koje su koristile 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u izvještajnom periodu kretao u rasponu od 9,151 porodice u decembru 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(minimum) do 9,507 porodice u maju 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(maksimum). Broj članova porodica koji su bili obuhvaćeni materijalnim obezbjeđenjem varirao je u rasponu </w:t>
      </w:r>
      <w:proofErr w:type="gramStart"/>
      <w:r w:rsidRPr="009F56B4">
        <w:rPr>
          <w:rFonts w:ascii="Times New Roman" w:eastAsia="Times New Roman" w:hAnsi="Times New Roman" w:cs="Times New Roman"/>
          <w:sz w:val="24"/>
          <w:szCs w:val="24"/>
        </w:rPr>
        <w:t>od</w:t>
      </w:r>
      <w:proofErr w:type="gramEnd"/>
      <w:r w:rsidRPr="009F56B4">
        <w:rPr>
          <w:rFonts w:ascii="Times New Roman" w:eastAsia="Times New Roman" w:hAnsi="Times New Roman" w:cs="Times New Roman"/>
          <w:sz w:val="24"/>
          <w:szCs w:val="24"/>
        </w:rPr>
        <w:t xml:space="preserve"> 28,890 u januaru 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(minimum) do 30,198 u maju 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(maksimum). </w:t>
      </w:r>
      <w:proofErr w:type="gramStart"/>
      <w:r w:rsidRPr="009F56B4">
        <w:rPr>
          <w:rFonts w:ascii="Times New Roman" w:eastAsia="Times New Roman" w:hAnsi="Times New Roman" w:cs="Times New Roman"/>
          <w:sz w:val="24"/>
          <w:szCs w:val="24"/>
        </w:rPr>
        <w:t>Broj porodica korisnika materijalnog obezbjeđenja u decembru 2018.</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umanjen je za 0,28% u odnosu na januar 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dok je u istom intervalu broj članova porodice obuhvaćenih materijalnim obezbjeđenjem uvećan  za 0,74%.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lastRenderedPageBreak/>
        <w:t xml:space="preserve">Generalno, broj korisnika materijalnog obezbjeđenja varira zavisno </w:t>
      </w:r>
      <w:proofErr w:type="gramStart"/>
      <w:r w:rsidRPr="009F56B4">
        <w:rPr>
          <w:rFonts w:ascii="Times New Roman" w:eastAsia="Times New Roman" w:hAnsi="Times New Roman" w:cs="Times New Roman"/>
          <w:sz w:val="24"/>
          <w:szCs w:val="24"/>
        </w:rPr>
        <w:t>od</w:t>
      </w:r>
      <w:proofErr w:type="gramEnd"/>
      <w:r w:rsidRPr="009F56B4">
        <w:rPr>
          <w:rFonts w:ascii="Times New Roman" w:eastAsia="Times New Roman" w:hAnsi="Times New Roman" w:cs="Times New Roman"/>
          <w:sz w:val="24"/>
          <w:szCs w:val="24"/>
        </w:rPr>
        <w:t xml:space="preserve"> broja novih korisnika, prestanka prava postojećim korisnicima, te obnavljanja već korišćenog prava.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Radi veće preglednosti mjesečne promjene u broju porodica i broju lica korisnika materijalnog obezbjeđenja tokom 2018.</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zbirno za sve opštine u Crnoj Gori, prikazujemo i grafički.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Grafikon br.3</w:t>
      </w:r>
      <w:r w:rsidRPr="009F56B4">
        <w:rPr>
          <w:rFonts w:ascii="Times New Roman" w:eastAsia="Times New Roman" w:hAnsi="Times New Roman" w:cs="Times New Roman"/>
          <w:b/>
          <w:i/>
          <w:sz w:val="24"/>
          <w:szCs w:val="24"/>
        </w:rPr>
        <w:t xml:space="preserve">: Kretanje broja porodica i broja lica korisnika materijalnog obezbjeđenja tokom 2018. </w:t>
      </w:r>
      <w:proofErr w:type="gramStart"/>
      <w:r w:rsidRPr="009F56B4">
        <w:rPr>
          <w:rFonts w:ascii="Times New Roman" w:eastAsia="Times New Roman" w:hAnsi="Times New Roman" w:cs="Times New Roman"/>
          <w:b/>
          <w:i/>
          <w:sz w:val="24"/>
          <w:szCs w:val="24"/>
        </w:rPr>
        <w:t>godine</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r w:rsidRPr="009F56B4">
        <w:rPr>
          <w:noProof/>
        </w:rPr>
        <w:drawing>
          <wp:inline distT="0" distB="0" distL="0" distR="0" wp14:anchorId="2EA0B519" wp14:editId="665055CC">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Iz grafičkog prikaza jasno se uočava da je broj porodica koje su koristile materijalno obezbjeđenje neznatno varirao tokom godine, dok su promjene broja članova porodice/lica obuhvaćenih materijalnim obezbjeđenjem nešto izraženije.</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U tabeli broj</w:t>
      </w:r>
      <w:r>
        <w:rPr>
          <w:rFonts w:ascii="Times New Roman" w:eastAsia="Times New Roman" w:hAnsi="Times New Roman" w:cs="Times New Roman"/>
          <w:sz w:val="24"/>
          <w:szCs w:val="24"/>
        </w:rPr>
        <w:t xml:space="preserve"> 3.</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prikazana</w:t>
      </w:r>
      <w:proofErr w:type="gramEnd"/>
      <w:r w:rsidRPr="009F56B4">
        <w:rPr>
          <w:rFonts w:ascii="Times New Roman" w:eastAsia="Times New Roman" w:hAnsi="Times New Roman" w:cs="Times New Roman"/>
          <w:sz w:val="24"/>
          <w:szCs w:val="24"/>
        </w:rPr>
        <w:t xml:space="preserve"> je raspodjela porodica obuhvaćenih pravom na materijalno obezbjeđenje  na dan 31.12.2018.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prema veličini/broju članova: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Tabela br.3</w:t>
      </w:r>
      <w:r w:rsidRPr="009F56B4">
        <w:rPr>
          <w:rFonts w:ascii="Times New Roman" w:eastAsia="Times New Roman" w:hAnsi="Times New Roman" w:cs="Times New Roman"/>
          <w:b/>
          <w:i/>
          <w:sz w:val="24"/>
          <w:szCs w:val="24"/>
        </w:rPr>
        <w:t xml:space="preserve">: Distribucija porodica obuhvaćenih pravom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MO prema broju članova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tbl>
      <w:tblPr>
        <w:tblW w:w="3840" w:type="dxa"/>
        <w:tblInd w:w="93" w:type="dxa"/>
        <w:tblLook w:val="04A0" w:firstRow="1" w:lastRow="0" w:firstColumn="1" w:lastColumn="0" w:noHBand="0" w:noVBand="1"/>
      </w:tblPr>
      <w:tblGrid>
        <w:gridCol w:w="1920"/>
        <w:gridCol w:w="960"/>
        <w:gridCol w:w="960"/>
      </w:tblGrid>
      <w:tr w:rsidR="007E63B6" w:rsidRPr="009F56B4" w:rsidTr="00D904E7">
        <w:trPr>
          <w:trHeight w:val="750"/>
        </w:trPr>
        <w:tc>
          <w:tcPr>
            <w:tcW w:w="19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E63B6" w:rsidRPr="009F56B4" w:rsidRDefault="007E63B6" w:rsidP="00D904E7">
            <w:pPr>
              <w:spacing w:after="0" w:line="240" w:lineRule="auto"/>
              <w:jc w:val="center"/>
              <w:rPr>
                <w:rFonts w:ascii="Times New Roman" w:eastAsia="Times New Roman" w:hAnsi="Times New Roman" w:cs="Times New Roman"/>
                <w:b/>
                <w:bCs/>
                <w:color w:val="000000"/>
                <w:sz w:val="20"/>
                <w:szCs w:val="20"/>
              </w:rPr>
            </w:pPr>
            <w:r w:rsidRPr="009F56B4">
              <w:rPr>
                <w:rFonts w:ascii="Times New Roman" w:eastAsia="Times New Roman" w:hAnsi="Times New Roman" w:cs="Times New Roman"/>
                <w:b/>
                <w:bCs/>
                <w:color w:val="000000"/>
                <w:sz w:val="20"/>
                <w:szCs w:val="20"/>
              </w:rPr>
              <w:t xml:space="preserve">Porodice obuhvaćene pravom na MO prema veličini </w:t>
            </w:r>
          </w:p>
        </w:tc>
        <w:tc>
          <w:tcPr>
            <w:tcW w:w="960" w:type="dxa"/>
            <w:tcBorders>
              <w:top w:val="single" w:sz="4" w:space="0" w:color="auto"/>
              <w:left w:val="nil"/>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Broj porodica</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Procenat</w:t>
            </w:r>
          </w:p>
        </w:tc>
      </w:tr>
      <w:tr w:rsidR="007E63B6" w:rsidRPr="009F56B4" w:rsidTr="00D904E7">
        <w:trPr>
          <w:trHeight w:val="300"/>
        </w:trPr>
        <w:tc>
          <w:tcPr>
            <w:tcW w:w="1920" w:type="dxa"/>
            <w:tcBorders>
              <w:top w:val="nil"/>
              <w:left w:val="single" w:sz="4" w:space="0" w:color="auto"/>
              <w:bottom w:val="single" w:sz="4" w:space="0" w:color="auto"/>
              <w:right w:val="single" w:sz="4" w:space="0" w:color="auto"/>
            </w:tcBorders>
            <w:shd w:val="clear" w:color="000000" w:fill="DCE6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 xml:space="preserve">1 član </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2426</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26.51%</w:t>
            </w:r>
          </w:p>
        </w:tc>
      </w:tr>
      <w:tr w:rsidR="007E63B6" w:rsidRPr="009F56B4" w:rsidTr="00D904E7">
        <w:trPr>
          <w:trHeight w:val="300"/>
        </w:trPr>
        <w:tc>
          <w:tcPr>
            <w:tcW w:w="1920" w:type="dxa"/>
            <w:tcBorders>
              <w:top w:val="nil"/>
              <w:left w:val="single" w:sz="4" w:space="0" w:color="auto"/>
              <w:bottom w:val="single" w:sz="4" w:space="0" w:color="auto"/>
              <w:right w:val="single" w:sz="4" w:space="0" w:color="auto"/>
            </w:tcBorders>
            <w:shd w:val="clear" w:color="000000" w:fill="DCE6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 člana</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975</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10.65%</w:t>
            </w:r>
          </w:p>
        </w:tc>
      </w:tr>
      <w:tr w:rsidR="007E63B6" w:rsidRPr="009F56B4" w:rsidTr="00D904E7">
        <w:trPr>
          <w:trHeight w:val="300"/>
        </w:trPr>
        <w:tc>
          <w:tcPr>
            <w:tcW w:w="1920" w:type="dxa"/>
            <w:tcBorders>
              <w:top w:val="nil"/>
              <w:left w:val="single" w:sz="4" w:space="0" w:color="auto"/>
              <w:bottom w:val="single" w:sz="4" w:space="0" w:color="auto"/>
              <w:right w:val="single" w:sz="4" w:space="0" w:color="auto"/>
            </w:tcBorders>
            <w:shd w:val="clear" w:color="000000" w:fill="DCE6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3 člana</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1581</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17.28%</w:t>
            </w:r>
          </w:p>
        </w:tc>
      </w:tr>
      <w:tr w:rsidR="007E63B6" w:rsidRPr="009F56B4" w:rsidTr="00D904E7">
        <w:trPr>
          <w:trHeight w:val="300"/>
        </w:trPr>
        <w:tc>
          <w:tcPr>
            <w:tcW w:w="1920" w:type="dxa"/>
            <w:tcBorders>
              <w:top w:val="nil"/>
              <w:left w:val="single" w:sz="4" w:space="0" w:color="auto"/>
              <w:bottom w:val="single" w:sz="4" w:space="0" w:color="auto"/>
              <w:right w:val="single" w:sz="4" w:space="0" w:color="auto"/>
            </w:tcBorders>
            <w:shd w:val="clear" w:color="000000" w:fill="DCE6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4 člana</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1960</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21.42%</w:t>
            </w:r>
          </w:p>
        </w:tc>
      </w:tr>
      <w:tr w:rsidR="007E63B6" w:rsidRPr="009F56B4" w:rsidTr="00D904E7">
        <w:trPr>
          <w:trHeight w:val="300"/>
        </w:trPr>
        <w:tc>
          <w:tcPr>
            <w:tcW w:w="1920" w:type="dxa"/>
            <w:tcBorders>
              <w:top w:val="nil"/>
              <w:left w:val="single" w:sz="4" w:space="0" w:color="auto"/>
              <w:bottom w:val="single" w:sz="4" w:space="0" w:color="auto"/>
              <w:right w:val="single" w:sz="4" w:space="0" w:color="auto"/>
            </w:tcBorders>
            <w:shd w:val="clear" w:color="000000" w:fill="DCE6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5 i više članova</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2209</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24.14%</w:t>
            </w:r>
          </w:p>
        </w:tc>
      </w:tr>
      <w:tr w:rsidR="007E63B6" w:rsidRPr="009F56B4" w:rsidTr="00D904E7">
        <w:trPr>
          <w:trHeight w:val="300"/>
        </w:trPr>
        <w:tc>
          <w:tcPr>
            <w:tcW w:w="1920" w:type="dxa"/>
            <w:tcBorders>
              <w:top w:val="nil"/>
              <w:left w:val="single" w:sz="4" w:space="0" w:color="auto"/>
              <w:bottom w:val="single" w:sz="4" w:space="0" w:color="auto"/>
              <w:right w:val="single" w:sz="4" w:space="0" w:color="auto"/>
            </w:tcBorders>
            <w:shd w:val="clear" w:color="000000" w:fill="C5D9F1"/>
            <w:noWrap/>
            <w:vAlign w:val="center"/>
            <w:hideMark/>
          </w:tcPr>
          <w:p w:rsidR="007E63B6" w:rsidRPr="009F56B4" w:rsidRDefault="007E63B6" w:rsidP="00D904E7">
            <w:pPr>
              <w:spacing w:after="0" w:line="240" w:lineRule="auto"/>
              <w:jc w:val="center"/>
              <w:rPr>
                <w:rFonts w:ascii="Times New Roman" w:eastAsia="Times New Roman" w:hAnsi="Times New Roman" w:cs="Times New Roman"/>
                <w:b/>
                <w:bCs/>
                <w:color w:val="000000"/>
                <w:sz w:val="20"/>
                <w:szCs w:val="20"/>
              </w:rPr>
            </w:pPr>
            <w:r w:rsidRPr="009F56B4">
              <w:rPr>
                <w:rFonts w:ascii="Times New Roman" w:eastAsia="Times New Roman" w:hAnsi="Times New Roman" w:cs="Times New Roman"/>
                <w:b/>
                <w:bCs/>
                <w:color w:val="000000"/>
                <w:sz w:val="20"/>
                <w:szCs w:val="20"/>
              </w:rPr>
              <w:t>Ukupno</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9151</w:t>
            </w:r>
          </w:p>
        </w:tc>
        <w:tc>
          <w:tcPr>
            <w:tcW w:w="96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rPr>
            </w:pPr>
            <w:r w:rsidRPr="009F56B4">
              <w:rPr>
                <w:rFonts w:ascii="Times New Roman" w:eastAsia="Times New Roman" w:hAnsi="Times New Roman" w:cs="Times New Roman"/>
                <w:color w:val="000000"/>
                <w:sz w:val="20"/>
                <w:szCs w:val="20"/>
              </w:rPr>
              <w:t>100.00%</w:t>
            </w:r>
          </w:p>
        </w:tc>
      </w:tr>
    </w:tbl>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lastRenderedPageBreak/>
        <w:t>Prema podacima za decembar 2018.</w:t>
      </w:r>
      <w:proofErr w:type="gramEnd"/>
      <w:r w:rsidRPr="009F56B4">
        <w:rPr>
          <w:rFonts w:ascii="Times New Roman" w:eastAsia="Times New Roman" w:hAnsi="Times New Roman" w:cs="Times New Roman"/>
          <w:sz w:val="24"/>
          <w:szCs w:val="24"/>
        </w:rPr>
        <w:t xml:space="preserve"> godine, u strukturi porodica obuhvaćenih pravom na materijalno obezbjeđenje </w:t>
      </w:r>
      <w:r w:rsidRPr="009F56B4">
        <w:rPr>
          <w:rFonts w:ascii="Times New Roman" w:eastAsia="Times New Roman" w:hAnsi="Times New Roman" w:cs="Times New Roman"/>
          <w:b/>
          <w:sz w:val="24"/>
          <w:szCs w:val="24"/>
        </w:rPr>
        <w:t>najbrojnije su jednočlane porodice</w:t>
      </w:r>
      <w:r w:rsidRPr="009F56B4">
        <w:rPr>
          <w:rFonts w:ascii="Times New Roman" w:eastAsia="Times New Roman" w:hAnsi="Times New Roman" w:cs="Times New Roman"/>
          <w:sz w:val="24"/>
          <w:szCs w:val="24"/>
        </w:rPr>
        <w:t xml:space="preserve"> kojih je bilo 2426 ili 26,51%,  zatim porodice sa 5 i više članova kojih je bilo 2209 ili 24,14% , pa četvoročlane porodice kojih je bilo 1960 ili 21,42%, slijede tročlane porodice kojih ima 1960, odnosno 17,28%. </w:t>
      </w:r>
      <w:r w:rsidRPr="009F56B4">
        <w:rPr>
          <w:rFonts w:ascii="Times New Roman" w:eastAsia="Times New Roman" w:hAnsi="Times New Roman" w:cs="Times New Roman"/>
          <w:b/>
          <w:sz w:val="24"/>
          <w:szCs w:val="24"/>
        </w:rPr>
        <w:t>Najmanje je bilo dvočlanih porodica</w:t>
      </w:r>
      <w:r w:rsidRPr="009F56B4">
        <w:rPr>
          <w:rFonts w:ascii="Times New Roman" w:eastAsia="Times New Roman" w:hAnsi="Times New Roman" w:cs="Times New Roman"/>
          <w:sz w:val="24"/>
          <w:szCs w:val="24"/>
        </w:rPr>
        <w:t xml:space="preserve"> – 975, odnosno 10</w:t>
      </w:r>
      <w:proofErr w:type="gramStart"/>
      <w:r w:rsidRPr="009F56B4">
        <w:rPr>
          <w:rFonts w:ascii="Times New Roman" w:eastAsia="Times New Roman" w:hAnsi="Times New Roman" w:cs="Times New Roman"/>
          <w:sz w:val="24"/>
          <w:szCs w:val="24"/>
        </w:rPr>
        <w:t>,65</w:t>
      </w:r>
      <w:proofErr w:type="gramEnd"/>
      <w:r w:rsidRPr="009F56B4">
        <w:rPr>
          <w:rFonts w:ascii="Times New Roman" w:eastAsia="Times New Roman" w:hAnsi="Times New Roman" w:cs="Times New Roman"/>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Podatke o broju porodica u kojima je nosilac prava na materijalno obezbjeđenje samohrani roditelj dostavilo je 9 od 13 centara za socijalni rad. Prema dostavljenim podacima učešće ovih porodica u ukupnom broju porodica korisnika materijalnog obezbjeđenja je 11</w:t>
      </w:r>
      <w:proofErr w:type="gramStart"/>
      <w:r w:rsidRPr="009F56B4">
        <w:rPr>
          <w:rFonts w:ascii="Times New Roman" w:eastAsia="Times New Roman" w:hAnsi="Times New Roman" w:cs="Times New Roman"/>
          <w:sz w:val="24"/>
          <w:szCs w:val="24"/>
        </w:rPr>
        <w:t>,32</w:t>
      </w:r>
      <w:proofErr w:type="gramEnd"/>
      <w:r w:rsidRPr="009F56B4">
        <w:rPr>
          <w:rFonts w:ascii="Times New Roman" w:eastAsia="Times New Roman" w:hAnsi="Times New Roman" w:cs="Times New Roman"/>
          <w:sz w:val="24"/>
          <w:szCs w:val="24"/>
        </w:rPr>
        <w:t xml:space="preserve">%. Shodno Zakonu o socijalnoj i dječjoj zaštiti </w:t>
      </w:r>
      <w:r w:rsidRPr="009F56B4">
        <w:rPr>
          <w:rFonts w:ascii="Times New Roman" w:eastAsia="Times New Roman" w:hAnsi="Times New Roman" w:cs="Times New Roman"/>
          <w:b/>
          <w:sz w:val="24"/>
          <w:szCs w:val="24"/>
        </w:rPr>
        <w:t>samohrani roditelj</w:t>
      </w:r>
      <w:r w:rsidRPr="009F56B4">
        <w:rPr>
          <w:rFonts w:ascii="Times New Roman" w:eastAsia="Times New Roman" w:hAnsi="Times New Roman" w:cs="Times New Roman"/>
          <w:sz w:val="24"/>
          <w:szCs w:val="24"/>
        </w:rPr>
        <w:t xml:space="preserve"> je roditelj koji je razveden </w:t>
      </w:r>
      <w:proofErr w:type="gramStart"/>
      <w:r w:rsidRPr="009F56B4">
        <w:rPr>
          <w:rFonts w:ascii="Times New Roman" w:eastAsia="Times New Roman" w:hAnsi="Times New Roman" w:cs="Times New Roman"/>
          <w:sz w:val="24"/>
          <w:szCs w:val="24"/>
        </w:rPr>
        <w:t>ili</w:t>
      </w:r>
      <w:proofErr w:type="gramEnd"/>
      <w:r w:rsidRPr="009F56B4">
        <w:rPr>
          <w:rFonts w:ascii="Times New Roman" w:eastAsia="Times New Roman" w:hAnsi="Times New Roman" w:cs="Times New Roman"/>
          <w:sz w:val="24"/>
          <w:szCs w:val="24"/>
        </w:rPr>
        <w:t xml:space="preserve"> je drugi roditelj umro ili je nepoznat, a izdržava dijete, odnosno vrši produženo roditeljsko pravo, u skladu sa zakonom, do zasnivanja bračne ili vanbračne zajednice. U strukturi samohranih roditelja, nosilaca prava na materijalno obezbjeđenje, dominiraju samohrane majke, zastupljene sa 80</w:t>
      </w:r>
      <w:proofErr w:type="gramStart"/>
      <w:r w:rsidRPr="009F56B4">
        <w:rPr>
          <w:rFonts w:ascii="Times New Roman" w:eastAsia="Times New Roman" w:hAnsi="Times New Roman" w:cs="Times New Roman"/>
          <w:sz w:val="24"/>
          <w:szCs w:val="24"/>
        </w:rPr>
        <w:t>,12</w:t>
      </w:r>
      <w:proofErr w:type="gramEnd"/>
      <w:r w:rsidRPr="009F56B4">
        <w:rPr>
          <w:rFonts w:ascii="Times New Roman" w:eastAsia="Times New Roman" w:hAnsi="Times New Roman" w:cs="Times New Roman"/>
          <w:sz w:val="24"/>
          <w:szCs w:val="24"/>
        </w:rPr>
        <w:t>%, dok su samohrani očevi zastupljeni sa 19,88%.</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Prema podacima koji je dostavilo 11 </w:t>
      </w:r>
      <w:proofErr w:type="gramStart"/>
      <w:r w:rsidRPr="009F56B4">
        <w:rPr>
          <w:rFonts w:ascii="Times New Roman" w:eastAsia="Times New Roman" w:hAnsi="Times New Roman" w:cs="Times New Roman"/>
          <w:sz w:val="24"/>
          <w:szCs w:val="24"/>
        </w:rPr>
        <w:t>od</w:t>
      </w:r>
      <w:proofErr w:type="gramEnd"/>
      <w:r w:rsidRPr="009F56B4">
        <w:rPr>
          <w:rFonts w:ascii="Times New Roman" w:eastAsia="Times New Roman" w:hAnsi="Times New Roman" w:cs="Times New Roman"/>
          <w:sz w:val="24"/>
          <w:szCs w:val="24"/>
        </w:rPr>
        <w:t xml:space="preserve"> 13 centara za socijalni rad </w:t>
      </w:r>
      <w:r w:rsidRPr="009F56B4">
        <w:rPr>
          <w:rFonts w:ascii="Times New Roman" w:eastAsia="Times New Roman" w:hAnsi="Times New Roman" w:cs="Times New Roman"/>
          <w:b/>
          <w:sz w:val="24"/>
          <w:szCs w:val="24"/>
        </w:rPr>
        <w:t>staračka domaćinstava</w:t>
      </w:r>
      <w:r w:rsidRPr="009F56B4">
        <w:rPr>
          <w:rFonts w:ascii="Times New Roman" w:eastAsia="Times New Roman" w:hAnsi="Times New Roman" w:cs="Times New Roman"/>
          <w:sz w:val="24"/>
          <w:szCs w:val="24"/>
        </w:rPr>
        <w:t xml:space="preserve"> čine 10% od ukupnog broja porodica/domaćinstava korisnika materijalnog obezbjeđenja.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Podatke o strukturi korisnika materijalnog obezbjeđenja prema polu i radnoj sposobnosti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dan 31.12.2018. godine, dostavilo je 10 od 13 centara za socijalni rad. Prema dostavljenim podacima u strukturi korisnika materijalnog obezbjeđenja žene čine 54,73%, dok su muškarci zastupljeni sa 45,27%. Učešće korisnika nesposobnih za rad u odnosu na ukupan broj korisnika materijalnog obezbjeđenja je 19</w:t>
      </w:r>
      <w:proofErr w:type="gramStart"/>
      <w:r w:rsidRPr="009F56B4">
        <w:rPr>
          <w:rFonts w:ascii="Times New Roman" w:eastAsia="Times New Roman" w:hAnsi="Times New Roman" w:cs="Times New Roman"/>
          <w:sz w:val="24"/>
          <w:szCs w:val="24"/>
        </w:rPr>
        <w:t>,53</w:t>
      </w:r>
      <w:proofErr w:type="gramEnd"/>
      <w:r w:rsidRPr="009F56B4">
        <w:rPr>
          <w:rFonts w:ascii="Times New Roman" w:eastAsia="Times New Roman" w:hAnsi="Times New Roman" w:cs="Times New Roman"/>
          <w:sz w:val="24"/>
          <w:szCs w:val="24"/>
        </w:rPr>
        <w:t xml:space="preserve">%, dok su radno sposobni korisnici zastupljeni sa 80,47%. Zakon o socijalnoj i dječjoj zaštiti definiše da je nesposobno za rad: dijete; dijete koje nije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redovnom školovanju, ako je na evidenciji Zavoda za zapošljavanje Crne Gore; lice kod koga je utvrđena nesposobnost za rad, u skladu sa ovim zakonom i lice koje je navršilo 67. </w:t>
      </w:r>
      <w:proofErr w:type="gramStart"/>
      <w:r w:rsidRPr="009F56B4">
        <w:rPr>
          <w:rFonts w:ascii="Times New Roman" w:eastAsia="Times New Roman" w:hAnsi="Times New Roman" w:cs="Times New Roman"/>
          <w:sz w:val="24"/>
          <w:szCs w:val="24"/>
        </w:rPr>
        <w:t>godina</w:t>
      </w:r>
      <w:proofErr w:type="gramEnd"/>
      <w:r w:rsidRPr="009F56B4">
        <w:rPr>
          <w:rFonts w:ascii="Times New Roman" w:eastAsia="Times New Roman" w:hAnsi="Times New Roman" w:cs="Times New Roman"/>
          <w:sz w:val="24"/>
          <w:szCs w:val="24"/>
        </w:rPr>
        <w:t xml:space="preserve"> života (član 19 tačka 9 Zakona o socijalnoj i dječjoj zaštiti).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Podatke o broju djece u porodicama koje koriste 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na dan 31.12.2018.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dostavilo je 10 od 13 centara za socijalni rad. Na osnovu dostavljenih podataka </w:t>
      </w:r>
      <w:r w:rsidRPr="009F56B4">
        <w:rPr>
          <w:rFonts w:ascii="Times New Roman" w:eastAsia="Times New Roman" w:hAnsi="Times New Roman" w:cs="Times New Roman"/>
          <w:b/>
          <w:sz w:val="24"/>
          <w:szCs w:val="24"/>
        </w:rPr>
        <w:t xml:space="preserve">djeca čine 41,64% od ukupnog broja korisnika obuhvaćenih pravom na materijalno obezbjeđenje </w:t>
      </w:r>
      <w:r w:rsidRPr="009F56B4">
        <w:rPr>
          <w:rFonts w:ascii="Times New Roman" w:eastAsia="Times New Roman" w:hAnsi="Times New Roman" w:cs="Times New Roman"/>
          <w:sz w:val="24"/>
          <w:szCs w:val="24"/>
        </w:rPr>
        <w:t>(procenat računat u odnosu na ukupan broj korisnika obuhvaćenih pravom na materijalno obezbjeđenje na dan 31.12.2018. godine u centrima za socijalni rad koji su dostavili podatke). U strukturi djece obuhvaćene pravom na materijalno obezbjeđenje dječaci su zastupljeni sa 51</w:t>
      </w:r>
      <w:proofErr w:type="gramStart"/>
      <w:r w:rsidRPr="009F56B4">
        <w:rPr>
          <w:rFonts w:ascii="Times New Roman" w:eastAsia="Times New Roman" w:hAnsi="Times New Roman" w:cs="Times New Roman"/>
          <w:sz w:val="24"/>
          <w:szCs w:val="24"/>
        </w:rPr>
        <w:t>,14</w:t>
      </w:r>
      <w:proofErr w:type="gramEnd"/>
      <w:r w:rsidRPr="009F56B4">
        <w:rPr>
          <w:rFonts w:ascii="Times New Roman" w:eastAsia="Times New Roman" w:hAnsi="Times New Roman" w:cs="Times New Roman"/>
          <w:sz w:val="24"/>
          <w:szCs w:val="24"/>
        </w:rPr>
        <w:t xml:space="preserve">%, a djevojčice sa 48,86%. U starosnoj strukturi djece obuhvaćene pravom na materijalno obezbjeđenje najbrojnija su djeca uzrasta 6 do 14 godina (42,51%), slijede djeca na uzrastu od 14 do 18 godina (21,03%), zatim djeca na uzrastu od 3 do 6 godina (18,80%) i djeca mlađa od  3 godine (17,66%). Radi bolje preglednosti, strukturu djece obuhvaćene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prikazaćemo i grafički.</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Grafikon br.4</w:t>
      </w:r>
      <w:r w:rsidRPr="009F56B4">
        <w:rPr>
          <w:rFonts w:ascii="Times New Roman" w:eastAsia="Times New Roman" w:hAnsi="Times New Roman" w:cs="Times New Roman"/>
          <w:b/>
          <w:i/>
          <w:sz w:val="24"/>
          <w:szCs w:val="24"/>
        </w:rPr>
        <w:t xml:space="preserve">: Polna i starosna struktura djece obuhvaćene pravom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materijalno obezbjeđenje na dan 31.12.2018. </w:t>
      </w:r>
      <w:proofErr w:type="gramStart"/>
      <w:r w:rsidRPr="009F56B4">
        <w:rPr>
          <w:rFonts w:ascii="Times New Roman" w:eastAsia="Times New Roman" w:hAnsi="Times New Roman" w:cs="Times New Roman"/>
          <w:b/>
          <w:i/>
          <w:sz w:val="24"/>
          <w:szCs w:val="24"/>
        </w:rPr>
        <w:t>godine</w:t>
      </w:r>
      <w:proofErr w:type="gramEnd"/>
      <w:r w:rsidRPr="009F56B4">
        <w:rPr>
          <w:rFonts w:ascii="Times New Roman" w:eastAsia="Times New Roman" w:hAnsi="Times New Roman" w:cs="Times New Roman"/>
          <w:b/>
          <w:i/>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r w:rsidRPr="009F56B4">
        <w:rPr>
          <w:noProof/>
        </w:rPr>
        <w:drawing>
          <wp:inline distT="0" distB="0" distL="0" distR="0" wp14:anchorId="4C288E9B" wp14:editId="4AF3A44E">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Iz grafičkog prikaza vidimo da su u strukturi djece obuhvaćene pravom na materijalno obezbjeđenje najbrojnija djeca na uzrastu od 7 do 14 godina, te da su djeca oba pola približno jednako zastupljena u svim uzrasnim grupama.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U cilju sagledavanja relativnog udjela poslova oko materijalnih davanja u radu centara za socijalni rad i područnih jedinica, a imajući u vidu da su korisnici materijalnog obezbjeđenja kao osnovne novčane naknade koja targetira siromašne porodice najbrojnija korisnička grupa na nivou cjelokupnog uzorka, u daljem izlaganju</w:t>
      </w:r>
      <w:r w:rsidRPr="009F56B4">
        <w:rPr>
          <w:rFonts w:ascii="Times New Roman" w:eastAsia="Times New Roman" w:hAnsi="Times New Roman" w:cs="Times New Roman"/>
          <w:color w:val="FF0000"/>
          <w:sz w:val="24"/>
          <w:szCs w:val="24"/>
        </w:rPr>
        <w:t xml:space="preserve"> </w:t>
      </w:r>
      <w:r w:rsidRPr="009F56B4">
        <w:rPr>
          <w:rFonts w:ascii="Times New Roman" w:eastAsia="Times New Roman" w:hAnsi="Times New Roman" w:cs="Times New Roman"/>
          <w:sz w:val="24"/>
          <w:szCs w:val="24"/>
        </w:rPr>
        <w:t>prikazaćemo broj korisnika prava na materijalno obezbjeđenje po regionima Crne Gore i opštinama, te udio korisnika materijalnog obezbjeđenja u stanovništvu regiona, odnosno opština.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Grafikon br.5</w:t>
      </w:r>
      <w:r w:rsidRPr="009F56B4">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w:t>
      </w:r>
      <w:r w:rsidRPr="009F56B4">
        <w:rPr>
          <w:rFonts w:ascii="Times New Roman" w:eastAsia="Times New Roman" w:hAnsi="Times New Roman" w:cs="Times New Roman"/>
          <w:b/>
          <w:i/>
          <w:sz w:val="24"/>
          <w:szCs w:val="24"/>
        </w:rPr>
        <w:t xml:space="preserve">Obuhvat porodica i lica pravom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materijalno obezbjeđenje po regionima Crne Gore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10675B36" wp14:editId="6822F31E">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Iz grafičkog prikaza vidljive su razlike po regionima u pogledu obuhvata stanovništva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w:t>
      </w:r>
      <w:proofErr w:type="gramStart"/>
      <w:r w:rsidRPr="009F56B4">
        <w:rPr>
          <w:rFonts w:ascii="Times New Roman" w:eastAsia="Times New Roman" w:hAnsi="Times New Roman" w:cs="Times New Roman"/>
          <w:sz w:val="24"/>
          <w:szCs w:val="24"/>
        </w:rPr>
        <w:t>Broj korisnika, porodica i lica, obuhvaćenih ovim pravom najveći je u sjevernom regionu, a zatim u središnjem, dok je upadljivo manji u primorskom regionu.</w:t>
      </w:r>
      <w:proofErr w:type="gramEnd"/>
      <w:r w:rsidRPr="009F56B4">
        <w:rPr>
          <w:rFonts w:ascii="Times New Roman" w:eastAsia="Times New Roman" w:hAnsi="Times New Roman" w:cs="Times New Roman"/>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U sjevernom regionu pravom na materijalno obezbjeđenje obuhvaćeno je 9,27% stanovnika regiona; u središnjem regionu korisnici prava na materijalno obezbjeđenje čine 4,16% stanovništva regiona, dok su u primorskom regionu korisnici prava na materijalno obezbjeđenje zastupljeni sa 1,77% u stanovništvu regiona.</w:t>
      </w: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grafikonu broj 6</w:t>
      </w:r>
      <w:r w:rsidRPr="009F56B4">
        <w:rPr>
          <w:rFonts w:ascii="Times New Roman" w:eastAsia="Times New Roman" w:hAnsi="Times New Roman" w:cs="Times New Roman"/>
          <w:sz w:val="24"/>
          <w:szCs w:val="24"/>
        </w:rPr>
        <w:t xml:space="preserve"> prikazana je zastupljenost lica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po regionima Crne Gore. </w:t>
      </w: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Grafikon br.6</w:t>
      </w:r>
      <w:r w:rsidRPr="009F56B4">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w:t>
      </w:r>
      <w:r w:rsidRPr="009F56B4">
        <w:rPr>
          <w:rFonts w:ascii="Times New Roman" w:eastAsia="Times New Roman" w:hAnsi="Times New Roman" w:cs="Times New Roman"/>
          <w:b/>
          <w:i/>
          <w:sz w:val="24"/>
          <w:szCs w:val="24"/>
        </w:rPr>
        <w:t xml:space="preserve">Zastupljenost lica obuhvaćenih pravom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materijalno obezbjeđenje po regionima Crne Gore</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sidRPr="009F56B4">
        <w:rPr>
          <w:noProof/>
        </w:rPr>
        <w:drawing>
          <wp:inline distT="0" distB="0" distL="0" distR="0" wp14:anchorId="168334E5" wp14:editId="4290E8BE">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63B6" w:rsidRPr="009F56B4" w:rsidRDefault="007E63B6" w:rsidP="007E63B6">
      <w:pPr>
        <w:rPr>
          <w:rFonts w:ascii="Times New Roman" w:eastAsia="Times New Roman" w:hAnsi="Times New Roman" w:cs="Times New Roman"/>
          <w:b/>
          <w:i/>
          <w:sz w:val="24"/>
          <w:szCs w:val="24"/>
        </w:rPr>
      </w:pPr>
    </w:p>
    <w:p w:rsidR="007E63B6" w:rsidRPr="009F56B4" w:rsidRDefault="007E63B6" w:rsidP="007E63B6">
      <w:pPr>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Iz grafikona vidimo da u strukturi korisnika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preko 50% korisnika čine stanovnici sjevernog regiona. Slijedeći po zastupljenosti su korisnici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w:t>
      </w:r>
      <w:r>
        <w:rPr>
          <w:rFonts w:ascii="Times New Roman" w:eastAsia="Times New Roman" w:hAnsi="Times New Roman" w:cs="Times New Roman"/>
          <w:sz w:val="24"/>
          <w:szCs w:val="24"/>
        </w:rPr>
        <w:t>ijalno obezbjeđenje nastanjeni u</w:t>
      </w:r>
      <w:r w:rsidRPr="009F56B4">
        <w:rPr>
          <w:rFonts w:ascii="Times New Roman" w:eastAsia="Times New Roman" w:hAnsi="Times New Roman" w:cs="Times New Roman"/>
          <w:sz w:val="24"/>
          <w:szCs w:val="24"/>
        </w:rPr>
        <w:t xml:space="preserve"> centralnom regionu, koji zajedno sa korisnicima iz sjevernog regiona čine ubjedljivu većinu korisnika ovog prava. Najmanji udio imaju korisnici iz primorskog regiona, zastupljeni </w:t>
      </w:r>
      <w:proofErr w:type="gramStart"/>
      <w:r w:rsidRPr="009F56B4">
        <w:rPr>
          <w:rFonts w:ascii="Times New Roman" w:eastAsia="Times New Roman" w:hAnsi="Times New Roman" w:cs="Times New Roman"/>
          <w:sz w:val="24"/>
          <w:szCs w:val="24"/>
        </w:rPr>
        <w:t>sa</w:t>
      </w:r>
      <w:proofErr w:type="gramEnd"/>
      <w:r w:rsidRPr="009F56B4">
        <w:rPr>
          <w:rFonts w:ascii="Times New Roman" w:eastAsia="Times New Roman" w:hAnsi="Times New Roman" w:cs="Times New Roman"/>
          <w:sz w:val="24"/>
          <w:szCs w:val="24"/>
        </w:rPr>
        <w:t xml:space="preserve"> ispod 10% u posmatranom uzorku korisnika prava na materijalno obezbjeđenje. </w:t>
      </w:r>
    </w:p>
    <w:p w:rsidR="007E63B6" w:rsidRPr="009F56B4" w:rsidRDefault="007E63B6" w:rsidP="007E63B6">
      <w:pPr>
        <w:jc w:val="both"/>
        <w:rPr>
          <w:rFonts w:ascii="Times New Roman" w:eastAsia="Times New Roman" w:hAnsi="Times New Roman" w:cs="Times New Roman"/>
          <w:b/>
          <w:i/>
          <w:sz w:val="24"/>
          <w:szCs w:val="24"/>
        </w:rPr>
      </w:pPr>
      <w:r w:rsidRPr="009F56B4">
        <w:rPr>
          <w:rFonts w:ascii="Times New Roman" w:eastAsia="Times New Roman" w:hAnsi="Times New Roman" w:cs="Times New Roman"/>
          <w:sz w:val="24"/>
          <w:szCs w:val="24"/>
        </w:rPr>
        <w:t xml:space="preserve">U cilju detaljnijeg uvida u narednoj tabeli prikazan je prosječan broj nosilaca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i prosječan broj lica obuhvaćenih pravom na materijalno obezbjeđenje za 2018. </w:t>
      </w:r>
      <w:proofErr w:type="gramStart"/>
      <w:r w:rsidRPr="009F56B4">
        <w:rPr>
          <w:rFonts w:ascii="Times New Roman" w:eastAsia="Times New Roman" w:hAnsi="Times New Roman" w:cs="Times New Roman"/>
          <w:sz w:val="24"/>
          <w:szCs w:val="24"/>
        </w:rPr>
        <w:t>godinu</w:t>
      </w:r>
      <w:proofErr w:type="gramEnd"/>
      <w:r w:rsidRPr="009F56B4">
        <w:rPr>
          <w:rFonts w:ascii="Times New Roman" w:eastAsia="Times New Roman" w:hAnsi="Times New Roman" w:cs="Times New Roman"/>
          <w:sz w:val="24"/>
          <w:szCs w:val="24"/>
        </w:rPr>
        <w:t xml:space="preserve"> u svim  opštinama u Crnoj Gori, te udio korisnika prava na materijalno obezbjeđenje u stanovništvu opština.  </w:t>
      </w:r>
      <w:r w:rsidRPr="009F56B4">
        <w:rPr>
          <w:rFonts w:ascii="Times New Roman" w:eastAsia="Times New Roman" w:hAnsi="Times New Roman" w:cs="Times New Roman"/>
          <w:b/>
          <w:i/>
          <w:sz w:val="24"/>
          <w:szCs w:val="24"/>
        </w:rPr>
        <w:br w:type="page"/>
      </w:r>
      <w:r>
        <w:rPr>
          <w:rFonts w:ascii="Times New Roman" w:eastAsia="Times New Roman" w:hAnsi="Times New Roman" w:cs="Times New Roman"/>
          <w:b/>
          <w:i/>
          <w:sz w:val="24"/>
          <w:szCs w:val="24"/>
        </w:rPr>
        <w:lastRenderedPageBreak/>
        <w:t>Tabela br.4</w:t>
      </w:r>
      <w:r w:rsidRPr="009F56B4">
        <w:rPr>
          <w:rFonts w:ascii="Times New Roman" w:eastAsia="Times New Roman" w:hAnsi="Times New Roman" w:cs="Times New Roman"/>
          <w:b/>
          <w:i/>
          <w:sz w:val="24"/>
          <w:szCs w:val="24"/>
        </w:rPr>
        <w:t xml:space="preserve">: Prosječan broj porodica i lica po opštinama obuhvaćenih pravom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MO u 2018. </w:t>
      </w:r>
      <w:proofErr w:type="gramStart"/>
      <w:r w:rsidRPr="009F56B4">
        <w:rPr>
          <w:rFonts w:ascii="Times New Roman" w:eastAsia="Times New Roman" w:hAnsi="Times New Roman" w:cs="Times New Roman"/>
          <w:b/>
          <w:i/>
          <w:sz w:val="24"/>
          <w:szCs w:val="24"/>
        </w:rPr>
        <w:t>godini</w:t>
      </w:r>
      <w:proofErr w:type="gramEnd"/>
    </w:p>
    <w:tbl>
      <w:tblPr>
        <w:tblW w:w="7828" w:type="dxa"/>
        <w:tblInd w:w="93" w:type="dxa"/>
        <w:tblLook w:val="04A0" w:firstRow="1" w:lastRow="0" w:firstColumn="1" w:lastColumn="0" w:noHBand="0" w:noVBand="1"/>
      </w:tblPr>
      <w:tblGrid>
        <w:gridCol w:w="1283"/>
        <w:gridCol w:w="1426"/>
        <w:gridCol w:w="1219"/>
        <w:gridCol w:w="1300"/>
        <w:gridCol w:w="1300"/>
        <w:gridCol w:w="1300"/>
      </w:tblGrid>
      <w:tr w:rsidR="007E63B6" w:rsidRPr="009F56B4" w:rsidTr="00D904E7">
        <w:trPr>
          <w:trHeight w:val="1380"/>
        </w:trPr>
        <w:tc>
          <w:tcPr>
            <w:tcW w:w="2709"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7E63B6" w:rsidRPr="009F56B4" w:rsidRDefault="007E63B6" w:rsidP="00D904E7">
            <w:pPr>
              <w:spacing w:after="0" w:line="240" w:lineRule="auto"/>
              <w:jc w:val="center"/>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CSR/OPŠTINA</w:t>
            </w:r>
          </w:p>
        </w:tc>
        <w:tc>
          <w:tcPr>
            <w:tcW w:w="1219" w:type="dxa"/>
            <w:tcBorders>
              <w:top w:val="single" w:sz="8" w:space="0" w:color="auto"/>
              <w:left w:val="single" w:sz="8" w:space="0" w:color="auto"/>
              <w:bottom w:val="single" w:sz="8" w:space="0" w:color="000000"/>
              <w:right w:val="single" w:sz="8"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Prosječan broj porodica korisnika MO u 2018 godini</w:t>
            </w:r>
          </w:p>
        </w:tc>
        <w:tc>
          <w:tcPr>
            <w:tcW w:w="1300" w:type="dxa"/>
            <w:tcBorders>
              <w:top w:val="single" w:sz="8" w:space="0" w:color="auto"/>
              <w:left w:val="single" w:sz="8" w:space="0" w:color="auto"/>
              <w:bottom w:val="single" w:sz="4" w:space="0" w:color="auto"/>
              <w:right w:val="single" w:sz="8"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Prosječan broj lica obuhvaćenih pravom na MO u 2018 godini</w:t>
            </w:r>
          </w:p>
        </w:tc>
        <w:tc>
          <w:tcPr>
            <w:tcW w:w="1300" w:type="dxa"/>
            <w:tcBorders>
              <w:top w:val="single" w:sz="8" w:space="0" w:color="auto"/>
              <w:left w:val="single" w:sz="8" w:space="0" w:color="auto"/>
              <w:bottom w:val="single" w:sz="8" w:space="0" w:color="000000"/>
              <w:right w:val="single" w:sz="8"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Broj stanovnika opštine</w:t>
            </w:r>
          </w:p>
        </w:tc>
        <w:tc>
          <w:tcPr>
            <w:tcW w:w="1300" w:type="dxa"/>
            <w:tcBorders>
              <w:top w:val="single" w:sz="8" w:space="0" w:color="auto"/>
              <w:left w:val="single" w:sz="8" w:space="0" w:color="auto"/>
              <w:bottom w:val="single" w:sz="4" w:space="0" w:color="auto"/>
              <w:right w:val="single" w:sz="8"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Udio korisnika MO u stanovništvu opštine</w:t>
            </w:r>
          </w:p>
        </w:tc>
      </w:tr>
      <w:tr w:rsidR="007E63B6" w:rsidRPr="009F56B4" w:rsidTr="00D904E7">
        <w:trPr>
          <w:trHeight w:val="300"/>
        </w:trPr>
        <w:tc>
          <w:tcPr>
            <w:tcW w:w="1283" w:type="dxa"/>
            <w:vMerge w:val="restart"/>
            <w:tcBorders>
              <w:top w:val="single" w:sz="8" w:space="0" w:color="auto"/>
              <w:left w:val="single" w:sz="8" w:space="0" w:color="auto"/>
              <w:bottom w:val="single" w:sz="8" w:space="0" w:color="000000"/>
              <w:right w:val="nil"/>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Podgorica</w:t>
            </w:r>
          </w:p>
        </w:tc>
        <w:tc>
          <w:tcPr>
            <w:tcW w:w="1426" w:type="dxa"/>
            <w:tcBorders>
              <w:top w:val="single" w:sz="8" w:space="0" w:color="auto"/>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Podgorica</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1692</w:t>
            </w:r>
          </w:p>
        </w:tc>
        <w:tc>
          <w:tcPr>
            <w:tcW w:w="13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5540</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157610</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3,52%</w:t>
            </w:r>
          </w:p>
        </w:tc>
      </w:tr>
      <w:tr w:rsidR="007E63B6" w:rsidRPr="009F56B4" w:rsidTr="00D904E7">
        <w:trPr>
          <w:trHeight w:val="300"/>
        </w:trPr>
        <w:tc>
          <w:tcPr>
            <w:tcW w:w="1283" w:type="dxa"/>
            <w:vMerge/>
            <w:tcBorders>
              <w:top w:val="single" w:sz="8" w:space="0" w:color="auto"/>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2. Golubovci</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88</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260</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16231</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1,60%</w:t>
            </w:r>
          </w:p>
        </w:tc>
      </w:tr>
      <w:tr w:rsidR="007E63B6" w:rsidRPr="009F56B4" w:rsidTr="00D904E7">
        <w:trPr>
          <w:trHeight w:val="315"/>
        </w:trPr>
        <w:tc>
          <w:tcPr>
            <w:tcW w:w="1283" w:type="dxa"/>
            <w:vMerge/>
            <w:tcBorders>
              <w:top w:val="single" w:sz="8" w:space="0" w:color="auto"/>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8"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3. Tuzi</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252</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912</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12096</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7,54%</w:t>
            </w:r>
          </w:p>
        </w:tc>
      </w:tr>
      <w:tr w:rsidR="007E63B6" w:rsidRPr="009F56B4" w:rsidTr="00D904E7">
        <w:trPr>
          <w:trHeight w:val="315"/>
        </w:trPr>
        <w:tc>
          <w:tcPr>
            <w:tcW w:w="1283" w:type="dxa"/>
            <w:tcBorders>
              <w:top w:val="nil"/>
              <w:left w:val="single" w:sz="8" w:space="0" w:color="auto"/>
              <w:bottom w:val="single" w:sz="8" w:space="0" w:color="auto"/>
              <w:right w:val="single" w:sz="8" w:space="0" w:color="auto"/>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Danilovgrad</w:t>
            </w:r>
          </w:p>
        </w:tc>
        <w:tc>
          <w:tcPr>
            <w:tcW w:w="1426" w:type="dxa"/>
            <w:tcBorders>
              <w:top w:val="nil"/>
              <w:left w:val="nil"/>
              <w:bottom w:val="single" w:sz="4" w:space="0" w:color="auto"/>
              <w:right w:val="nil"/>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Danilovgrad</w:t>
            </w:r>
          </w:p>
        </w:tc>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157</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461</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18472</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2,50%</w:t>
            </w:r>
          </w:p>
        </w:tc>
      </w:tr>
      <w:tr w:rsidR="007E63B6" w:rsidRPr="009F56B4" w:rsidTr="00D904E7">
        <w:trPr>
          <w:trHeight w:val="315"/>
        </w:trPr>
        <w:tc>
          <w:tcPr>
            <w:tcW w:w="1283" w:type="dxa"/>
            <w:tcBorders>
              <w:top w:val="nil"/>
              <w:left w:val="single" w:sz="8" w:space="0" w:color="auto"/>
              <w:bottom w:val="single" w:sz="8" w:space="0" w:color="auto"/>
              <w:right w:val="single" w:sz="8" w:space="0" w:color="auto"/>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Cetinje</w:t>
            </w:r>
          </w:p>
        </w:tc>
        <w:tc>
          <w:tcPr>
            <w:tcW w:w="1426" w:type="dxa"/>
            <w:tcBorders>
              <w:top w:val="nil"/>
              <w:left w:val="nil"/>
              <w:bottom w:val="nil"/>
              <w:right w:val="nil"/>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Cetinje</w:t>
            </w:r>
          </w:p>
        </w:tc>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203</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605</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16657</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3,63%</w:t>
            </w:r>
          </w:p>
        </w:tc>
      </w:tr>
      <w:tr w:rsidR="007E63B6" w:rsidRPr="009F56B4" w:rsidTr="00D904E7">
        <w:trPr>
          <w:trHeight w:val="300"/>
        </w:trPr>
        <w:tc>
          <w:tcPr>
            <w:tcW w:w="1283" w:type="dxa"/>
            <w:vMerge w:val="restart"/>
            <w:tcBorders>
              <w:top w:val="nil"/>
              <w:left w:val="single" w:sz="8" w:space="0" w:color="auto"/>
              <w:bottom w:val="single" w:sz="8" w:space="0" w:color="000000"/>
              <w:right w:val="nil"/>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Nikšić</w:t>
            </w:r>
          </w:p>
        </w:tc>
        <w:tc>
          <w:tcPr>
            <w:tcW w:w="1426" w:type="dxa"/>
            <w:tcBorders>
              <w:top w:val="single" w:sz="8" w:space="0" w:color="auto"/>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Nikšić</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1413</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4507</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72443</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6,22%</w:t>
            </w:r>
          </w:p>
        </w:tc>
      </w:tr>
      <w:tr w:rsidR="007E63B6" w:rsidRPr="009F56B4" w:rsidTr="00D904E7">
        <w:trPr>
          <w:trHeight w:val="300"/>
        </w:trPr>
        <w:tc>
          <w:tcPr>
            <w:tcW w:w="1283" w:type="dxa"/>
            <w:vMerge/>
            <w:tcBorders>
              <w:top w:val="nil"/>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2. Plužine</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33</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67</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3246</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2,06%</w:t>
            </w:r>
          </w:p>
        </w:tc>
      </w:tr>
      <w:tr w:rsidR="007E63B6" w:rsidRPr="009F56B4" w:rsidTr="00D904E7">
        <w:trPr>
          <w:trHeight w:val="315"/>
        </w:trPr>
        <w:tc>
          <w:tcPr>
            <w:tcW w:w="1283" w:type="dxa"/>
            <w:vMerge/>
            <w:tcBorders>
              <w:top w:val="nil"/>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8"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3. Šavnik</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39</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89</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2070</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4,30%</w:t>
            </w:r>
          </w:p>
        </w:tc>
      </w:tr>
      <w:tr w:rsidR="007E63B6" w:rsidRPr="009F56B4" w:rsidTr="00D904E7">
        <w:trPr>
          <w:trHeight w:val="300"/>
        </w:trPr>
        <w:tc>
          <w:tcPr>
            <w:tcW w:w="1283" w:type="dxa"/>
            <w:vMerge w:val="restart"/>
            <w:tcBorders>
              <w:top w:val="nil"/>
              <w:left w:val="single" w:sz="8" w:space="0" w:color="auto"/>
              <w:bottom w:val="single" w:sz="8" w:space="0" w:color="000000"/>
              <w:right w:val="nil"/>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Bar</w:t>
            </w:r>
          </w:p>
        </w:tc>
        <w:tc>
          <w:tcPr>
            <w:tcW w:w="1426" w:type="dxa"/>
            <w:tcBorders>
              <w:top w:val="nil"/>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Bar</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477</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1578</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42048</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3,75%</w:t>
            </w:r>
          </w:p>
        </w:tc>
      </w:tr>
      <w:tr w:rsidR="007E63B6" w:rsidRPr="009F56B4" w:rsidTr="00D904E7">
        <w:trPr>
          <w:trHeight w:val="315"/>
        </w:trPr>
        <w:tc>
          <w:tcPr>
            <w:tcW w:w="1283" w:type="dxa"/>
            <w:vMerge/>
            <w:tcBorders>
              <w:top w:val="nil"/>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8"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2. Ulcinj</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191</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578</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19921</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2,90%</w:t>
            </w:r>
          </w:p>
        </w:tc>
      </w:tr>
      <w:tr w:rsidR="007E63B6" w:rsidRPr="009F56B4" w:rsidTr="00D904E7">
        <w:trPr>
          <w:trHeight w:val="300"/>
        </w:trPr>
        <w:tc>
          <w:tcPr>
            <w:tcW w:w="1283" w:type="dxa"/>
            <w:vMerge w:val="restart"/>
            <w:tcBorders>
              <w:top w:val="nil"/>
              <w:left w:val="single" w:sz="8" w:space="0" w:color="auto"/>
              <w:bottom w:val="single" w:sz="8" w:space="0" w:color="000000"/>
              <w:right w:val="nil"/>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Kotor</w:t>
            </w:r>
          </w:p>
        </w:tc>
        <w:tc>
          <w:tcPr>
            <w:tcW w:w="1426" w:type="dxa"/>
            <w:tcBorders>
              <w:top w:val="nil"/>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Kotor</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48</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113</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22601</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0,50%</w:t>
            </w:r>
          </w:p>
        </w:tc>
      </w:tr>
      <w:tr w:rsidR="007E63B6" w:rsidRPr="009F56B4" w:rsidTr="00D904E7">
        <w:trPr>
          <w:trHeight w:val="300"/>
        </w:trPr>
        <w:tc>
          <w:tcPr>
            <w:tcW w:w="1283" w:type="dxa"/>
            <w:vMerge/>
            <w:tcBorders>
              <w:top w:val="nil"/>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2. Tivat</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50</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123</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14031</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0,88%</w:t>
            </w:r>
          </w:p>
        </w:tc>
      </w:tr>
      <w:tr w:rsidR="007E63B6" w:rsidRPr="009F56B4" w:rsidTr="00D904E7">
        <w:trPr>
          <w:trHeight w:val="315"/>
        </w:trPr>
        <w:tc>
          <w:tcPr>
            <w:tcW w:w="1283" w:type="dxa"/>
            <w:vMerge/>
            <w:tcBorders>
              <w:top w:val="nil"/>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8"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3. Budva</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44</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100</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19218</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0,52%</w:t>
            </w:r>
          </w:p>
        </w:tc>
      </w:tr>
      <w:tr w:rsidR="007E63B6" w:rsidRPr="009F56B4" w:rsidTr="00D904E7">
        <w:trPr>
          <w:trHeight w:val="315"/>
        </w:trPr>
        <w:tc>
          <w:tcPr>
            <w:tcW w:w="1283" w:type="dxa"/>
            <w:tcBorders>
              <w:top w:val="nil"/>
              <w:left w:val="single" w:sz="4" w:space="0" w:color="auto"/>
              <w:bottom w:val="nil"/>
              <w:right w:val="nil"/>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Herceg Novi</w:t>
            </w:r>
          </w:p>
        </w:tc>
        <w:tc>
          <w:tcPr>
            <w:tcW w:w="1426" w:type="dxa"/>
            <w:tcBorders>
              <w:top w:val="nil"/>
              <w:left w:val="single" w:sz="8" w:space="0" w:color="auto"/>
              <w:bottom w:val="nil"/>
              <w:right w:val="nil"/>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Herceg Novi</w:t>
            </w:r>
          </w:p>
        </w:tc>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57</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139</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30864</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0,45%</w:t>
            </w:r>
          </w:p>
        </w:tc>
      </w:tr>
      <w:tr w:rsidR="007E63B6" w:rsidRPr="009F56B4" w:rsidTr="00D904E7">
        <w:trPr>
          <w:trHeight w:val="300"/>
        </w:trPr>
        <w:tc>
          <w:tcPr>
            <w:tcW w:w="1283" w:type="dxa"/>
            <w:vMerge w:val="restart"/>
            <w:tcBorders>
              <w:top w:val="single" w:sz="8" w:space="0" w:color="auto"/>
              <w:left w:val="single" w:sz="8" w:space="0" w:color="auto"/>
              <w:bottom w:val="single" w:sz="8" w:space="0" w:color="000000"/>
              <w:right w:val="nil"/>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Berane</w:t>
            </w:r>
          </w:p>
        </w:tc>
        <w:tc>
          <w:tcPr>
            <w:tcW w:w="1426" w:type="dxa"/>
            <w:tcBorders>
              <w:top w:val="single" w:sz="8" w:space="0" w:color="auto"/>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Berane</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932</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3177</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27284</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11,64%</w:t>
            </w:r>
          </w:p>
        </w:tc>
      </w:tr>
      <w:tr w:rsidR="007E63B6" w:rsidRPr="009F56B4" w:rsidTr="00D904E7">
        <w:trPr>
          <w:trHeight w:val="300"/>
        </w:trPr>
        <w:tc>
          <w:tcPr>
            <w:tcW w:w="1283" w:type="dxa"/>
            <w:vMerge/>
            <w:tcBorders>
              <w:top w:val="single" w:sz="8" w:space="0" w:color="auto"/>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2. Andrijevica</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110</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372</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5071</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7,34%</w:t>
            </w:r>
          </w:p>
        </w:tc>
      </w:tr>
      <w:tr w:rsidR="007E63B6" w:rsidRPr="009F56B4" w:rsidTr="00D904E7">
        <w:trPr>
          <w:trHeight w:val="315"/>
        </w:trPr>
        <w:tc>
          <w:tcPr>
            <w:tcW w:w="1283" w:type="dxa"/>
            <w:vMerge/>
            <w:tcBorders>
              <w:top w:val="single" w:sz="8" w:space="0" w:color="auto"/>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8"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3. Petnjica</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125</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455</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6686</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6,81%</w:t>
            </w:r>
          </w:p>
        </w:tc>
      </w:tr>
      <w:tr w:rsidR="007E63B6" w:rsidRPr="009F56B4" w:rsidTr="00D904E7">
        <w:trPr>
          <w:trHeight w:val="300"/>
        </w:trPr>
        <w:tc>
          <w:tcPr>
            <w:tcW w:w="1283"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Plav</w:t>
            </w:r>
          </w:p>
        </w:tc>
        <w:tc>
          <w:tcPr>
            <w:tcW w:w="1426" w:type="dxa"/>
            <w:tcBorders>
              <w:top w:val="nil"/>
              <w:left w:val="nil"/>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Plav</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325</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1227</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8869</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13,83%</w:t>
            </w:r>
          </w:p>
        </w:tc>
      </w:tr>
      <w:tr w:rsidR="007E63B6" w:rsidRPr="009F56B4" w:rsidTr="00D904E7">
        <w:trPr>
          <w:trHeight w:val="315"/>
        </w:trPr>
        <w:tc>
          <w:tcPr>
            <w:tcW w:w="1283" w:type="dxa"/>
            <w:vMerge/>
            <w:tcBorders>
              <w:top w:val="nil"/>
              <w:left w:val="single" w:sz="8" w:space="0" w:color="auto"/>
              <w:bottom w:val="single" w:sz="8" w:space="0" w:color="000000"/>
              <w:right w:val="single" w:sz="8" w:space="0" w:color="auto"/>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nil"/>
              <w:bottom w:val="single" w:sz="8"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2. Gusinje</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153</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491</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4239</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11,58%</w:t>
            </w:r>
          </w:p>
        </w:tc>
      </w:tr>
      <w:tr w:rsidR="007E63B6" w:rsidRPr="009F56B4" w:rsidTr="00D904E7">
        <w:trPr>
          <w:trHeight w:val="315"/>
        </w:trPr>
        <w:tc>
          <w:tcPr>
            <w:tcW w:w="1283" w:type="dxa"/>
            <w:tcBorders>
              <w:top w:val="nil"/>
              <w:left w:val="single" w:sz="8" w:space="0" w:color="auto"/>
              <w:bottom w:val="single" w:sz="8" w:space="0" w:color="auto"/>
              <w:right w:val="single" w:sz="8" w:space="0" w:color="auto"/>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Rožaje</w:t>
            </w:r>
          </w:p>
        </w:tc>
        <w:tc>
          <w:tcPr>
            <w:tcW w:w="1426" w:type="dxa"/>
            <w:tcBorders>
              <w:top w:val="nil"/>
              <w:left w:val="nil"/>
              <w:bottom w:val="single" w:sz="4" w:space="0" w:color="auto"/>
              <w:right w:val="nil"/>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Rožaje</w:t>
            </w:r>
          </w:p>
        </w:tc>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1334</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5285</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22964</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23,01%</w:t>
            </w:r>
          </w:p>
        </w:tc>
      </w:tr>
      <w:tr w:rsidR="007E63B6" w:rsidRPr="009F56B4" w:rsidTr="00D904E7">
        <w:trPr>
          <w:trHeight w:val="315"/>
        </w:trPr>
        <w:tc>
          <w:tcPr>
            <w:tcW w:w="1283" w:type="dxa"/>
            <w:tcBorders>
              <w:top w:val="nil"/>
              <w:left w:val="single" w:sz="8" w:space="0" w:color="auto"/>
              <w:bottom w:val="single" w:sz="8" w:space="0" w:color="auto"/>
              <w:right w:val="single" w:sz="8" w:space="0" w:color="auto"/>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Bijelo Polje</w:t>
            </w:r>
          </w:p>
        </w:tc>
        <w:tc>
          <w:tcPr>
            <w:tcW w:w="1426" w:type="dxa"/>
            <w:tcBorders>
              <w:top w:val="nil"/>
              <w:left w:val="nil"/>
              <w:bottom w:val="nil"/>
              <w:right w:val="nil"/>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Bijelo Polje</w:t>
            </w:r>
          </w:p>
        </w:tc>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809</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2804</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46051</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6,09%</w:t>
            </w:r>
          </w:p>
        </w:tc>
      </w:tr>
      <w:tr w:rsidR="007E63B6" w:rsidRPr="009F56B4" w:rsidTr="00D904E7">
        <w:trPr>
          <w:trHeight w:val="300"/>
        </w:trPr>
        <w:tc>
          <w:tcPr>
            <w:tcW w:w="1283" w:type="dxa"/>
            <w:vMerge w:val="restart"/>
            <w:tcBorders>
              <w:top w:val="nil"/>
              <w:left w:val="single" w:sz="8" w:space="0" w:color="auto"/>
              <w:bottom w:val="single" w:sz="8" w:space="0" w:color="000000"/>
              <w:right w:val="nil"/>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Mojkovac</w:t>
            </w:r>
          </w:p>
        </w:tc>
        <w:tc>
          <w:tcPr>
            <w:tcW w:w="1426" w:type="dxa"/>
            <w:tcBorders>
              <w:top w:val="single" w:sz="8" w:space="0" w:color="auto"/>
              <w:left w:val="single" w:sz="8" w:space="0" w:color="auto"/>
              <w:bottom w:val="single" w:sz="4"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1. Mojkovac</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152</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462</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8622</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5,36%</w:t>
            </w:r>
          </w:p>
        </w:tc>
      </w:tr>
      <w:tr w:rsidR="007E63B6" w:rsidRPr="009F56B4" w:rsidTr="00D904E7">
        <w:trPr>
          <w:trHeight w:val="315"/>
        </w:trPr>
        <w:tc>
          <w:tcPr>
            <w:tcW w:w="1283" w:type="dxa"/>
            <w:vMerge/>
            <w:tcBorders>
              <w:top w:val="nil"/>
              <w:left w:val="single" w:sz="8" w:space="0" w:color="auto"/>
              <w:bottom w:val="single" w:sz="8" w:space="0" w:color="000000"/>
              <w:right w:val="nil"/>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single" w:sz="8" w:space="0" w:color="auto"/>
              <w:bottom w:val="single" w:sz="8" w:space="0" w:color="auto"/>
              <w:right w:val="single" w:sz="8" w:space="0" w:color="auto"/>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2. Kolašin</w:t>
            </w:r>
          </w:p>
        </w:tc>
        <w:tc>
          <w:tcPr>
            <w:tcW w:w="1219" w:type="dxa"/>
            <w:tcBorders>
              <w:top w:val="nil"/>
              <w:left w:val="nil"/>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185</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503</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8380</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6,00%</w:t>
            </w:r>
          </w:p>
        </w:tc>
      </w:tr>
      <w:tr w:rsidR="007E63B6" w:rsidRPr="009F56B4" w:rsidTr="00D904E7">
        <w:trPr>
          <w:trHeight w:val="300"/>
        </w:trPr>
        <w:tc>
          <w:tcPr>
            <w:tcW w:w="1283"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r w:rsidRPr="009F56B4">
              <w:rPr>
                <w:rFonts w:ascii="Times New Roman" w:eastAsia="Times New Roman" w:hAnsi="Times New Roman" w:cs="Times New Roman"/>
                <w:b/>
                <w:bCs/>
                <w:color w:val="000000"/>
                <w:sz w:val="16"/>
                <w:szCs w:val="16"/>
                <w:lang w:val="sr-Latn-ME" w:eastAsia="sr-Latn-ME"/>
              </w:rPr>
              <w:t>Pljevlja</w:t>
            </w:r>
          </w:p>
        </w:tc>
        <w:tc>
          <w:tcPr>
            <w:tcW w:w="1426" w:type="dxa"/>
            <w:tcBorders>
              <w:top w:val="nil"/>
              <w:left w:val="nil"/>
              <w:bottom w:val="single" w:sz="4" w:space="0" w:color="auto"/>
              <w:right w:val="nil"/>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 xml:space="preserve">1. Pljevlja </w:t>
            </w:r>
          </w:p>
        </w:tc>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403</w:t>
            </w:r>
          </w:p>
        </w:tc>
        <w:tc>
          <w:tcPr>
            <w:tcW w:w="1300" w:type="dxa"/>
            <w:tcBorders>
              <w:top w:val="nil"/>
              <w:left w:val="single" w:sz="4"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1165</w:t>
            </w:r>
          </w:p>
        </w:tc>
        <w:tc>
          <w:tcPr>
            <w:tcW w:w="1300" w:type="dxa"/>
            <w:tcBorders>
              <w:top w:val="nil"/>
              <w:left w:val="nil"/>
              <w:bottom w:val="single" w:sz="4"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30786</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3,78%</w:t>
            </w:r>
          </w:p>
        </w:tc>
      </w:tr>
      <w:tr w:rsidR="007E63B6" w:rsidRPr="009F56B4" w:rsidTr="00D904E7">
        <w:trPr>
          <w:trHeight w:val="315"/>
        </w:trPr>
        <w:tc>
          <w:tcPr>
            <w:tcW w:w="1283" w:type="dxa"/>
            <w:vMerge/>
            <w:tcBorders>
              <w:top w:val="nil"/>
              <w:left w:val="single" w:sz="8" w:space="0" w:color="auto"/>
              <w:bottom w:val="single" w:sz="8" w:space="0" w:color="000000"/>
              <w:right w:val="single" w:sz="8" w:space="0" w:color="auto"/>
            </w:tcBorders>
            <w:vAlign w:val="center"/>
            <w:hideMark/>
          </w:tcPr>
          <w:p w:rsidR="007E63B6" w:rsidRPr="009F56B4" w:rsidRDefault="007E63B6" w:rsidP="00D904E7">
            <w:pPr>
              <w:spacing w:after="0" w:line="240" w:lineRule="auto"/>
              <w:rPr>
                <w:rFonts w:ascii="Times New Roman" w:eastAsia="Times New Roman" w:hAnsi="Times New Roman" w:cs="Times New Roman"/>
                <w:b/>
                <w:bCs/>
                <w:color w:val="000000"/>
                <w:sz w:val="16"/>
                <w:szCs w:val="16"/>
                <w:lang w:val="sr-Latn-ME" w:eastAsia="sr-Latn-ME"/>
              </w:rPr>
            </w:pPr>
          </w:p>
        </w:tc>
        <w:tc>
          <w:tcPr>
            <w:tcW w:w="1426" w:type="dxa"/>
            <w:tcBorders>
              <w:top w:val="nil"/>
              <w:left w:val="nil"/>
              <w:bottom w:val="nil"/>
              <w:right w:val="nil"/>
            </w:tcBorders>
            <w:shd w:val="clear" w:color="000000" w:fill="C5D9F1"/>
            <w:noWrap/>
            <w:vAlign w:val="bottom"/>
            <w:hideMark/>
          </w:tcPr>
          <w:p w:rsidR="007E63B6" w:rsidRPr="009F56B4" w:rsidRDefault="007E63B6" w:rsidP="00D904E7">
            <w:pPr>
              <w:spacing w:after="0" w:line="240" w:lineRule="auto"/>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color w:val="000000"/>
                <w:sz w:val="16"/>
                <w:szCs w:val="16"/>
                <w:lang w:val="sr-Latn-ME" w:eastAsia="sr-Latn-ME"/>
              </w:rPr>
              <w:t>2. Žabljak</w:t>
            </w:r>
          </w:p>
        </w:tc>
        <w:tc>
          <w:tcPr>
            <w:tcW w:w="1219" w:type="dxa"/>
            <w:tcBorders>
              <w:top w:val="nil"/>
              <w:left w:val="single" w:sz="8" w:space="0" w:color="auto"/>
              <w:bottom w:val="nil"/>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43</w:t>
            </w:r>
          </w:p>
        </w:tc>
        <w:tc>
          <w:tcPr>
            <w:tcW w:w="1300" w:type="dxa"/>
            <w:tcBorders>
              <w:top w:val="nil"/>
              <w:left w:val="single" w:sz="4" w:space="0" w:color="auto"/>
              <w:bottom w:val="nil"/>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56</w:t>
            </w:r>
          </w:p>
        </w:tc>
        <w:tc>
          <w:tcPr>
            <w:tcW w:w="1300" w:type="dxa"/>
            <w:tcBorders>
              <w:top w:val="nil"/>
              <w:left w:val="nil"/>
              <w:bottom w:val="nil"/>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3569</w:t>
            </w:r>
          </w:p>
        </w:tc>
        <w:tc>
          <w:tcPr>
            <w:tcW w:w="1300" w:type="dxa"/>
            <w:tcBorders>
              <w:top w:val="nil"/>
              <w:left w:val="single" w:sz="8" w:space="0" w:color="auto"/>
              <w:bottom w:val="nil"/>
              <w:right w:val="single" w:sz="8"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1,57%</w:t>
            </w:r>
          </w:p>
        </w:tc>
      </w:tr>
      <w:tr w:rsidR="007E63B6" w:rsidRPr="009F56B4" w:rsidTr="00D904E7">
        <w:trPr>
          <w:trHeight w:val="315"/>
        </w:trPr>
        <w:tc>
          <w:tcPr>
            <w:tcW w:w="2709" w:type="dxa"/>
            <w:gridSpan w:val="2"/>
            <w:tcBorders>
              <w:top w:val="single" w:sz="8" w:space="0" w:color="auto"/>
              <w:left w:val="single" w:sz="8" w:space="0" w:color="auto"/>
              <w:bottom w:val="single" w:sz="8" w:space="0" w:color="auto"/>
              <w:right w:val="single" w:sz="4" w:space="0" w:color="auto"/>
            </w:tcBorders>
            <w:shd w:val="clear" w:color="auto" w:fill="C6D9F1" w:themeFill="text2" w:themeFillTint="33"/>
            <w:noWrap/>
            <w:vAlign w:val="bottom"/>
            <w:hideMark/>
          </w:tcPr>
          <w:p w:rsidR="007E63B6" w:rsidRPr="009F56B4" w:rsidRDefault="007E63B6" w:rsidP="00D904E7">
            <w:pPr>
              <w:spacing w:after="0" w:line="240" w:lineRule="auto"/>
              <w:jc w:val="center"/>
              <w:rPr>
                <w:rFonts w:ascii="Times New Roman" w:eastAsia="Times New Roman" w:hAnsi="Times New Roman" w:cs="Times New Roman"/>
                <w:color w:val="000000"/>
                <w:sz w:val="16"/>
                <w:szCs w:val="16"/>
                <w:lang w:val="sr-Latn-ME" w:eastAsia="sr-Latn-ME"/>
              </w:rPr>
            </w:pPr>
            <w:r w:rsidRPr="009F56B4">
              <w:rPr>
                <w:rFonts w:ascii="Times New Roman" w:eastAsia="Times New Roman" w:hAnsi="Times New Roman" w:cs="Times New Roman"/>
                <w:b/>
                <w:color w:val="000000"/>
                <w:sz w:val="16"/>
                <w:szCs w:val="16"/>
                <w:lang w:val="sr-Latn-ME" w:eastAsia="sr-Latn-ME"/>
              </w:rPr>
              <w:t>UKUPNO/</w:t>
            </w:r>
            <w:r w:rsidRPr="009F56B4">
              <w:rPr>
                <w:rFonts w:ascii="Times New Roman" w:eastAsia="Times New Roman" w:hAnsi="Times New Roman" w:cs="Times New Roman"/>
                <w:color w:val="000000"/>
                <w:sz w:val="16"/>
                <w:szCs w:val="16"/>
                <w:lang w:val="sr-Latn-ME" w:eastAsia="sr-Latn-ME"/>
              </w:rPr>
              <w:t>prosjek na nivou Crne Gore</w:t>
            </w:r>
          </w:p>
        </w:tc>
        <w:tc>
          <w:tcPr>
            <w:tcW w:w="1219"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9319</w:t>
            </w:r>
          </w:p>
        </w:tc>
        <w:tc>
          <w:tcPr>
            <w:tcW w:w="1300" w:type="dxa"/>
            <w:tcBorders>
              <w:top w:val="single" w:sz="8" w:space="0" w:color="auto"/>
              <w:left w:val="single" w:sz="4" w:space="0" w:color="auto"/>
              <w:bottom w:val="single" w:sz="8" w:space="0" w:color="auto"/>
              <w:right w:val="single" w:sz="8" w:space="0" w:color="auto"/>
            </w:tcBorders>
            <w:shd w:val="clear" w:color="auto" w:fill="DBE5F1" w:themeFill="accent1" w:themeFillTint="33"/>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31066</w:t>
            </w:r>
          </w:p>
        </w:tc>
        <w:tc>
          <w:tcPr>
            <w:tcW w:w="1300" w:type="dxa"/>
            <w:tcBorders>
              <w:top w:val="single" w:sz="8" w:space="0" w:color="auto"/>
              <w:left w:val="nil"/>
              <w:bottom w:val="single" w:sz="8" w:space="0" w:color="auto"/>
              <w:right w:val="nil"/>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620029</w:t>
            </w:r>
          </w:p>
        </w:tc>
        <w:tc>
          <w:tcPr>
            <w:tcW w:w="130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5,01%</w:t>
            </w:r>
          </w:p>
        </w:tc>
      </w:tr>
    </w:tbl>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b/>
          <w:sz w:val="24"/>
          <w:szCs w:val="24"/>
        </w:rPr>
        <w:t>Tokom 2018.</w:t>
      </w:r>
      <w:proofErr w:type="gramEnd"/>
      <w:r w:rsidRPr="009F56B4">
        <w:rPr>
          <w:rFonts w:ascii="Times New Roman" w:eastAsia="Times New Roman" w:hAnsi="Times New Roman" w:cs="Times New Roman"/>
          <w:b/>
          <w:sz w:val="24"/>
          <w:szCs w:val="24"/>
        </w:rPr>
        <w:t xml:space="preserve"> </w:t>
      </w:r>
      <w:proofErr w:type="gramStart"/>
      <w:r w:rsidRPr="009F56B4">
        <w:rPr>
          <w:rFonts w:ascii="Times New Roman" w:eastAsia="Times New Roman" w:hAnsi="Times New Roman" w:cs="Times New Roman"/>
          <w:b/>
          <w:sz w:val="24"/>
          <w:szCs w:val="24"/>
        </w:rPr>
        <w:t>godine</w:t>
      </w:r>
      <w:proofErr w:type="gramEnd"/>
      <w:r w:rsidRPr="009F56B4">
        <w:rPr>
          <w:rFonts w:ascii="Times New Roman" w:eastAsia="Times New Roman" w:hAnsi="Times New Roman" w:cs="Times New Roman"/>
          <w:b/>
          <w:sz w:val="24"/>
          <w:szCs w:val="24"/>
        </w:rPr>
        <w:t xml:space="preserve"> u prosjeku je pravo na materijalno obezbjeđenje koristilo 9,319 porodica u Crnoj Gori, sa 31,066 članova. </w:t>
      </w:r>
      <w:proofErr w:type="gramStart"/>
      <w:r w:rsidRPr="009F56B4">
        <w:rPr>
          <w:rFonts w:ascii="Times New Roman" w:eastAsia="Times New Roman" w:hAnsi="Times New Roman" w:cs="Times New Roman"/>
          <w:sz w:val="24"/>
          <w:szCs w:val="24"/>
        </w:rPr>
        <w:t>Porodice koje su koristile materijalno obezbjeđenje u 2018.</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čine 4,85 % domaćinstava Crne Gore, a ukupan broj članova/lica obuhvaćenih materijalnim obezbjeđenjem u 2018.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čini oko </w:t>
      </w:r>
      <w:r w:rsidRPr="009F56B4">
        <w:rPr>
          <w:rFonts w:ascii="Times New Roman" w:eastAsia="Times New Roman" w:hAnsi="Times New Roman" w:cs="Times New Roman"/>
          <w:b/>
          <w:sz w:val="24"/>
          <w:szCs w:val="24"/>
        </w:rPr>
        <w:t>5% stanovnika Crne Gore</w:t>
      </w:r>
      <w:r w:rsidRPr="009F56B4">
        <w:rPr>
          <w:rFonts w:ascii="Times New Roman" w:eastAsia="Times New Roman" w:hAnsi="Times New Roman" w:cs="Times New Roman"/>
          <w:sz w:val="24"/>
          <w:szCs w:val="24"/>
        </w:rPr>
        <w:t xml:space="preserve"> (koriščeni podaci o broju domačinstava i broju stanovnika prema popisu stanovništva, domaćinstava i stanova u Crnoj Gori 2011. godine).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lastRenderedPageBreak/>
        <w:t>Udio korisnika obuhvaćenih pravom na materijalno obezbjeđenje u stanovništvu opština kreće se u rasponu od 0</w:t>
      </w:r>
      <w:proofErr w:type="gramStart"/>
      <w:r w:rsidRPr="009F56B4">
        <w:rPr>
          <w:rFonts w:ascii="Times New Roman" w:eastAsia="Times New Roman" w:hAnsi="Times New Roman" w:cs="Times New Roman"/>
          <w:sz w:val="24"/>
          <w:szCs w:val="24"/>
        </w:rPr>
        <w:t>,45</w:t>
      </w:r>
      <w:proofErr w:type="gramEnd"/>
      <w:r w:rsidRPr="009F56B4">
        <w:rPr>
          <w:rFonts w:ascii="Times New Roman" w:eastAsia="Times New Roman" w:hAnsi="Times New Roman" w:cs="Times New Roman"/>
          <w:sz w:val="24"/>
          <w:szCs w:val="24"/>
        </w:rPr>
        <w:t>% u Herceg Novom do 23% u Rožaju. Posmatrano po regionima, obuhvat stanovništva opština pravom na materijalno obezbjeđenje u primorskom regionu varira u rasponu od 0</w:t>
      </w:r>
      <w:proofErr w:type="gramStart"/>
      <w:r w:rsidRPr="009F56B4">
        <w:rPr>
          <w:rFonts w:ascii="Times New Roman" w:eastAsia="Times New Roman" w:hAnsi="Times New Roman" w:cs="Times New Roman"/>
          <w:sz w:val="24"/>
          <w:szCs w:val="24"/>
        </w:rPr>
        <w:t>,45</w:t>
      </w:r>
      <w:proofErr w:type="gramEnd"/>
      <w:r w:rsidRPr="009F56B4">
        <w:rPr>
          <w:rFonts w:ascii="Times New Roman" w:eastAsia="Times New Roman" w:hAnsi="Times New Roman" w:cs="Times New Roman"/>
          <w:sz w:val="24"/>
          <w:szCs w:val="24"/>
        </w:rPr>
        <w:t xml:space="preserve">% stanovnika u Herceg Novom do 3,75% stanovnika u Baru; u središnjem regionu raspon se kreće od 1,60% stanovnika u Golubovcima do 7,54% stanovnika u Tuzima; u sjevernom regionu raspon je najširi i kreće se od 1,57% stanovnika opštine obuhvaćenih pravom na materijalno obezbjeđenje u Žabljaku do 23% stanovnika u Rožaju.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Distribucija korisnika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po regionima i opštinama generalno je u skladu sa podacima o rasprostranjenosti i karakteristikama siromaštva. </w:t>
      </w:r>
      <w:proofErr w:type="gramStart"/>
      <w:r w:rsidRPr="009F56B4">
        <w:rPr>
          <w:rFonts w:ascii="Times New Roman" w:eastAsia="Times New Roman" w:hAnsi="Times New Roman" w:cs="Times New Roman"/>
          <w:sz w:val="24"/>
          <w:szCs w:val="24"/>
        </w:rPr>
        <w:t>Postoji značajna razlika u obimu siromaštva, kao i u dubini i oštrini siromaštva, između sjevernog regiona i drugih dijelova države.</w:t>
      </w:r>
      <w:proofErr w:type="gramEnd"/>
      <w:r w:rsidRPr="009F56B4">
        <w:rPr>
          <w:rFonts w:ascii="Times New Roman" w:eastAsia="Times New Roman" w:hAnsi="Times New Roman" w:cs="Times New Roman"/>
          <w:sz w:val="24"/>
          <w:szCs w:val="24"/>
        </w:rPr>
        <w:t xml:space="preserve"> Rizik </w:t>
      </w:r>
      <w:proofErr w:type="gramStart"/>
      <w:r w:rsidRPr="009F56B4">
        <w:rPr>
          <w:rFonts w:ascii="Times New Roman" w:eastAsia="Times New Roman" w:hAnsi="Times New Roman" w:cs="Times New Roman"/>
          <w:sz w:val="24"/>
          <w:szCs w:val="24"/>
        </w:rPr>
        <w:t>od</w:t>
      </w:r>
      <w:proofErr w:type="gramEnd"/>
      <w:r w:rsidRPr="009F56B4">
        <w:rPr>
          <w:rFonts w:ascii="Times New Roman" w:eastAsia="Times New Roman" w:hAnsi="Times New Roman" w:cs="Times New Roman"/>
          <w:sz w:val="24"/>
          <w:szCs w:val="24"/>
        </w:rPr>
        <w:t xml:space="preserve"> siromaštva u sjevernom regionu je više nego dvostruko veći od rizika od siromaštva u središnjem i primorskom regionu. Pretežno najmanji procenat korisnika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materijalno obezbjeđenje imaju opštine u kojima je razvijen turizam.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numPr>
          <w:ilvl w:val="2"/>
          <w:numId w:val="8"/>
        </w:numPr>
        <w:shd w:val="clear" w:color="auto" w:fill="FFFFFF"/>
        <w:spacing w:after="0" w:line="240" w:lineRule="auto"/>
        <w:contextualSpacing/>
        <w:jc w:val="both"/>
        <w:rPr>
          <w:rFonts w:ascii="Times New Roman" w:eastAsia="Times New Roman" w:hAnsi="Times New Roman" w:cs="Times New Roman"/>
          <w:sz w:val="24"/>
          <w:szCs w:val="24"/>
          <w:u w:val="single"/>
        </w:rPr>
      </w:pPr>
      <w:r w:rsidRPr="009F56B4">
        <w:rPr>
          <w:rFonts w:ascii="Times New Roman" w:eastAsia="Times New Roman" w:hAnsi="Times New Roman" w:cs="Times New Roman"/>
          <w:sz w:val="24"/>
          <w:szCs w:val="24"/>
          <w:u w:val="single"/>
        </w:rPr>
        <w:t>Lična invalidnina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Članom 32 Zakona o socijalnoj i dječjoj zaštiti propisano je da 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ličnu invalidninu ima lice sa teškim invaliditetom. 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ličnu invalidninu može ostvariti lice pod uslovom da nije korisnik prava na dodatak za njegu i pomoć u skladu sa ovim i drugim zakonima.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b/>
          <w:sz w:val="24"/>
          <w:szCs w:val="24"/>
        </w:rPr>
        <w:t>Visina lične invalidnine iznosi mjesečno 182</w:t>
      </w:r>
      <w:proofErr w:type="gramStart"/>
      <w:r w:rsidRPr="009F56B4">
        <w:rPr>
          <w:rFonts w:ascii="Times New Roman" w:eastAsia="Times New Roman" w:hAnsi="Times New Roman" w:cs="Times New Roman"/>
          <w:b/>
          <w:sz w:val="24"/>
          <w:szCs w:val="24"/>
        </w:rPr>
        <w:t>,95</w:t>
      </w:r>
      <w:proofErr w:type="gramEnd"/>
      <w:r w:rsidRPr="009F56B4">
        <w:rPr>
          <w:rFonts w:ascii="Times New Roman" w:eastAsia="Times New Roman" w:hAnsi="Times New Roman" w:cs="Times New Roman"/>
          <w:b/>
          <w:sz w:val="24"/>
          <w:szCs w:val="24"/>
        </w:rPr>
        <w:t xml:space="preserve"> eura</w:t>
      </w:r>
      <w:r w:rsidRPr="009F56B4">
        <w:rPr>
          <w:rFonts w:ascii="Times New Roman" w:eastAsia="Times New Roman" w:hAnsi="Times New Roman" w:cs="Times New Roman"/>
          <w:sz w:val="24"/>
          <w:szCs w:val="24"/>
        </w:rPr>
        <w:t xml:space="preserve"> (“Službeni list Crne Gore”, br. 060/18 od 07.09.2018. godine).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Prema podacima koje su dostavili 12 od 13 centara za socijalni rad, u izvještajnom periodu podnijeto je 669 zahtjeva za ostvarivanje prava na ličnu invalidninu, od kojih je pozitivno rješeno 139 ili 20,78%; 472 zahtjeva ili 70,55% rješeni su negativno, a 58 ili 8,67% zahtjeva je bilo nerješeno na dan 31.12.2018.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color w:val="FF0000"/>
          <w:sz w:val="24"/>
          <w:szCs w:val="24"/>
        </w:rPr>
      </w:pPr>
      <w:r w:rsidRPr="009F56B4">
        <w:rPr>
          <w:rFonts w:ascii="Times New Roman" w:eastAsia="Times New Roman" w:hAnsi="Times New Roman" w:cs="Times New Roman"/>
          <w:sz w:val="24"/>
          <w:szCs w:val="24"/>
        </w:rPr>
        <w:t xml:space="preserve">U strukturi korisnika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ličnu invalidninu na dan 31.12.2018. godine, a prema podacima koje je dostavilo 9 od 13 centara za socijalni rad, muškararci čine 55,44%, dok su žene zastupljene sa 44,56%. Prema starosnoj dobi, skoro polovina korisnika lične invalidnine (47</w:t>
      </w:r>
      <w:proofErr w:type="gramStart"/>
      <w:r w:rsidRPr="009F56B4">
        <w:rPr>
          <w:rFonts w:ascii="Times New Roman" w:eastAsia="Times New Roman" w:hAnsi="Times New Roman" w:cs="Times New Roman"/>
          <w:sz w:val="24"/>
          <w:szCs w:val="24"/>
        </w:rPr>
        <w:t>,80</w:t>
      </w:r>
      <w:proofErr w:type="gramEnd"/>
      <w:r w:rsidRPr="009F56B4">
        <w:rPr>
          <w:rFonts w:ascii="Times New Roman" w:eastAsia="Times New Roman" w:hAnsi="Times New Roman" w:cs="Times New Roman"/>
          <w:sz w:val="24"/>
          <w:szCs w:val="24"/>
        </w:rPr>
        <w:t xml:space="preserve">%) su odrasla lica, a slijedeća po zastupljenosti su djeca, koja čine 1/4 korisnika. Najmanje su zastupljeni stariji korisnici, kojih ima nepunih 10%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nivou posmatranog uzorka korisnika prava na ličnu invalidninu. Distribucija korisnika </w:t>
      </w:r>
      <w:proofErr w:type="gramStart"/>
      <w:r w:rsidRPr="009F56B4">
        <w:rPr>
          <w:rFonts w:ascii="Times New Roman" w:eastAsia="Times New Roman" w:hAnsi="Times New Roman" w:cs="Times New Roman"/>
          <w:sz w:val="24"/>
          <w:szCs w:val="24"/>
        </w:rPr>
        <w:t>obuhvaćenih  pravom</w:t>
      </w:r>
      <w:proofErr w:type="gramEnd"/>
      <w:r w:rsidRPr="009F56B4">
        <w:rPr>
          <w:rFonts w:ascii="Times New Roman" w:eastAsia="Times New Roman" w:hAnsi="Times New Roman" w:cs="Times New Roman"/>
          <w:sz w:val="24"/>
          <w:szCs w:val="24"/>
        </w:rPr>
        <w:t xml:space="preserve"> na ličnu invalidninu na dan 31.12.2018.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po uzrasnim grupama </w:t>
      </w:r>
      <w:r>
        <w:rPr>
          <w:rFonts w:ascii="Times New Roman" w:eastAsia="Times New Roman" w:hAnsi="Times New Roman" w:cs="Times New Roman"/>
          <w:sz w:val="24"/>
          <w:szCs w:val="24"/>
        </w:rPr>
        <w:t>prikazana je u grafikonu broj 7</w:t>
      </w:r>
      <w:r w:rsidRPr="009F56B4">
        <w:rPr>
          <w:rFonts w:ascii="Times New Roman" w:eastAsia="Times New Roman" w:hAnsi="Times New Roman" w:cs="Times New Roman"/>
          <w:sz w:val="24"/>
          <w:szCs w:val="24"/>
        </w:rPr>
        <w:t>.</w:t>
      </w:r>
      <w:r w:rsidRPr="009F56B4">
        <w:rPr>
          <w:rFonts w:ascii="Times New Roman" w:eastAsia="Times New Roman" w:hAnsi="Times New Roman" w:cs="Times New Roman"/>
          <w:color w:val="FF0000"/>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color w:val="FF0000"/>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color w:val="FF0000"/>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color w:val="FF0000"/>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color w:val="FF0000"/>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color w:val="FF0000"/>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color w:val="FF0000"/>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color w:val="FF0000"/>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color w:val="FF0000"/>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color w:val="000000" w:themeColor="text1"/>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lastRenderedPageBreak/>
        <w:t>Grafikon br.7</w:t>
      </w:r>
      <w:r w:rsidRPr="009F56B4">
        <w:rPr>
          <w:rFonts w:ascii="Times New Roman" w:eastAsia="Times New Roman" w:hAnsi="Times New Roman" w:cs="Times New Roman"/>
          <w:b/>
          <w:i/>
          <w:color w:val="000000" w:themeColor="text1"/>
          <w:sz w:val="24"/>
          <w:szCs w:val="24"/>
        </w:rPr>
        <w:t>:</w:t>
      </w:r>
      <w:r>
        <w:rPr>
          <w:rFonts w:ascii="Times New Roman" w:eastAsia="Times New Roman" w:hAnsi="Times New Roman" w:cs="Times New Roman"/>
          <w:b/>
          <w:i/>
          <w:color w:val="000000" w:themeColor="text1"/>
          <w:sz w:val="24"/>
          <w:szCs w:val="24"/>
        </w:rPr>
        <w:t xml:space="preserve"> </w:t>
      </w:r>
      <w:r w:rsidRPr="009F56B4">
        <w:rPr>
          <w:rFonts w:ascii="Times New Roman" w:eastAsia="Times New Roman" w:hAnsi="Times New Roman" w:cs="Times New Roman"/>
          <w:b/>
          <w:i/>
          <w:color w:val="000000" w:themeColor="text1"/>
          <w:sz w:val="24"/>
          <w:szCs w:val="24"/>
        </w:rPr>
        <w:t xml:space="preserve">Distribucija korisnika obuhvaćenih pravom </w:t>
      </w:r>
      <w:proofErr w:type="gramStart"/>
      <w:r w:rsidRPr="009F56B4">
        <w:rPr>
          <w:rFonts w:ascii="Times New Roman" w:eastAsia="Times New Roman" w:hAnsi="Times New Roman" w:cs="Times New Roman"/>
          <w:b/>
          <w:i/>
          <w:color w:val="000000" w:themeColor="text1"/>
          <w:sz w:val="24"/>
          <w:szCs w:val="24"/>
        </w:rPr>
        <w:t>na</w:t>
      </w:r>
      <w:proofErr w:type="gramEnd"/>
      <w:r w:rsidRPr="009F56B4">
        <w:rPr>
          <w:rFonts w:ascii="Times New Roman" w:eastAsia="Times New Roman" w:hAnsi="Times New Roman" w:cs="Times New Roman"/>
          <w:b/>
          <w:i/>
          <w:color w:val="000000" w:themeColor="text1"/>
          <w:sz w:val="24"/>
          <w:szCs w:val="24"/>
        </w:rPr>
        <w:t xml:space="preserve"> ličnu invalidninu po uzrasnim grupama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09E511EE" wp14:editId="33ED9581">
            <wp:extent cx="4572000" cy="27432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Još detaljniji uvid u strukturu korisnika obuhvaćenih pravom na ličnu invalidninu dobijamo </w:t>
      </w:r>
      <w:proofErr w:type="gramStart"/>
      <w:r w:rsidRPr="009F56B4">
        <w:rPr>
          <w:rFonts w:ascii="Times New Roman" w:eastAsia="Times New Roman" w:hAnsi="Times New Roman" w:cs="Times New Roman"/>
          <w:sz w:val="24"/>
          <w:szCs w:val="24"/>
        </w:rPr>
        <w:t>iz  slijedećeg</w:t>
      </w:r>
      <w:proofErr w:type="gramEnd"/>
      <w:r w:rsidRPr="009F56B4">
        <w:rPr>
          <w:rFonts w:ascii="Times New Roman" w:eastAsia="Times New Roman" w:hAnsi="Times New Roman" w:cs="Times New Roman"/>
          <w:sz w:val="24"/>
          <w:szCs w:val="24"/>
        </w:rPr>
        <w:t xml:space="preserve"> grafikona, koji diferencirano prikazuje distribuciju korisnika po polu unutar svake starosne grupe.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sidRPr="009F56B4">
        <w:rPr>
          <w:rFonts w:ascii="Times New Roman" w:eastAsia="Times New Roman" w:hAnsi="Times New Roman" w:cs="Times New Roman"/>
          <w:b/>
          <w:i/>
          <w:sz w:val="24"/>
          <w:szCs w:val="24"/>
        </w:rPr>
        <w:t>G</w:t>
      </w:r>
      <w:r>
        <w:rPr>
          <w:rFonts w:ascii="Times New Roman" w:eastAsia="Times New Roman" w:hAnsi="Times New Roman" w:cs="Times New Roman"/>
          <w:b/>
          <w:i/>
          <w:sz w:val="24"/>
          <w:szCs w:val="24"/>
        </w:rPr>
        <w:t>rafikon br.8</w:t>
      </w:r>
      <w:r w:rsidRPr="009F56B4">
        <w:rPr>
          <w:rFonts w:ascii="Times New Roman" w:eastAsia="Times New Roman" w:hAnsi="Times New Roman" w:cs="Times New Roman"/>
          <w:b/>
          <w:i/>
          <w:sz w:val="24"/>
          <w:szCs w:val="24"/>
        </w:rPr>
        <w:t xml:space="preserve">: Starosna i polna struktura korisnika obuhvaćenih pravom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ličnu invalidninu na dan 31.12.2018. </w:t>
      </w:r>
      <w:proofErr w:type="gramStart"/>
      <w:r w:rsidRPr="009F56B4">
        <w:rPr>
          <w:rFonts w:ascii="Times New Roman" w:eastAsia="Times New Roman" w:hAnsi="Times New Roman" w:cs="Times New Roman"/>
          <w:b/>
          <w:i/>
          <w:sz w:val="24"/>
          <w:szCs w:val="24"/>
        </w:rPr>
        <w:t>godine</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325D8802" wp14:editId="493774F1">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Iz grafičkog prikaza vidljivo je da su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nivou svih starosnih podgrupa, unutar grupe korisnika obuhvaćenih pravom na ličnu invalidninu, brojniji korisnici muškog pola. Međutim, dok su u  </w:t>
      </w:r>
      <w:r w:rsidRPr="009F56B4">
        <w:rPr>
          <w:rFonts w:ascii="Times New Roman" w:eastAsia="Times New Roman" w:hAnsi="Times New Roman" w:cs="Times New Roman"/>
          <w:sz w:val="24"/>
          <w:szCs w:val="24"/>
        </w:rPr>
        <w:lastRenderedPageBreak/>
        <w:t>podgrupama mladih i odraslih korisnika, korisnici oba pola približno jednako zastupljeni, određeni disbalans između muškaraca i žena nagovješten je u podgrupi starijih, a uočljiviji disbalans prisutan je u podgrupi djece, gdje preovlađuju korisnici muškog pola, kojih u ovoj podgrupi ima za oko 1/4 ili 26% više od korisnika ženskog pola.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U tabeli broj </w:t>
      </w:r>
      <w:r>
        <w:rPr>
          <w:rFonts w:ascii="Times New Roman" w:eastAsia="Times New Roman" w:hAnsi="Times New Roman" w:cs="Times New Roman"/>
          <w:color w:val="000000" w:themeColor="text1"/>
          <w:sz w:val="24"/>
          <w:szCs w:val="24"/>
        </w:rPr>
        <w:t>5</w:t>
      </w:r>
      <w:r w:rsidRPr="009F56B4">
        <w:rPr>
          <w:rFonts w:ascii="Times New Roman" w:eastAsia="Times New Roman" w:hAnsi="Times New Roman" w:cs="Times New Roman"/>
          <w:sz w:val="24"/>
          <w:szCs w:val="24"/>
        </w:rPr>
        <w:t xml:space="preserve"> prikazano je kretanje broja korisnika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ličnu invalidninu tokom 2018 godine po sjedištima centara za socijalni rad.</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Tabela br.5</w:t>
      </w:r>
      <w:r w:rsidRPr="009F56B4">
        <w:rPr>
          <w:rFonts w:ascii="Times New Roman" w:eastAsia="Times New Roman" w:hAnsi="Times New Roman" w:cs="Times New Roman"/>
          <w:b/>
          <w:i/>
          <w:sz w:val="24"/>
          <w:szCs w:val="24"/>
        </w:rPr>
        <w:t xml:space="preserve">: Kretanje broja korisnika prava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ličnu invalidninu tokom 2018. </w:t>
      </w:r>
      <w:proofErr w:type="gramStart"/>
      <w:r w:rsidRPr="009F56B4">
        <w:rPr>
          <w:rFonts w:ascii="Times New Roman" w:eastAsia="Times New Roman" w:hAnsi="Times New Roman" w:cs="Times New Roman"/>
          <w:b/>
          <w:i/>
          <w:sz w:val="24"/>
          <w:szCs w:val="24"/>
        </w:rPr>
        <w:t>godine</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54519F0A" wp14:editId="5A4F2C21">
            <wp:extent cx="5760720" cy="199560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995608"/>
                    </a:xfrm>
                    <a:prstGeom prst="rect">
                      <a:avLst/>
                    </a:prstGeom>
                    <a:noFill/>
                    <a:ln>
                      <a:noFill/>
                    </a:ln>
                  </pic:spPr>
                </pic:pic>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 tabele</w:t>
      </w:r>
      <w:r w:rsidRPr="009F56B4">
        <w:rPr>
          <w:rFonts w:ascii="Times New Roman" w:eastAsia="Times New Roman" w:hAnsi="Times New Roman" w:cs="Times New Roman"/>
          <w:sz w:val="24"/>
          <w:szCs w:val="24"/>
        </w:rPr>
        <w:t xml:space="preserve"> vidimo da prosječan broj korisnika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ličnu invalidninu vrlo malo varira tokom godine, te da se kretao od 186 korisnika u januaru (minimum) do 197 korisnika u decembru (maksimum). </w:t>
      </w:r>
      <w:r w:rsidRPr="009F56B4">
        <w:rPr>
          <w:rFonts w:ascii="Times New Roman" w:eastAsia="Times New Roman" w:hAnsi="Times New Roman" w:cs="Times New Roman"/>
          <w:b/>
          <w:sz w:val="24"/>
          <w:szCs w:val="24"/>
        </w:rPr>
        <w:t xml:space="preserve">Pravo </w:t>
      </w:r>
      <w:proofErr w:type="gramStart"/>
      <w:r w:rsidRPr="009F56B4">
        <w:rPr>
          <w:rFonts w:ascii="Times New Roman" w:eastAsia="Times New Roman" w:hAnsi="Times New Roman" w:cs="Times New Roman"/>
          <w:b/>
          <w:sz w:val="24"/>
          <w:szCs w:val="24"/>
        </w:rPr>
        <w:t>na</w:t>
      </w:r>
      <w:proofErr w:type="gramEnd"/>
      <w:r w:rsidRPr="009F56B4">
        <w:rPr>
          <w:rFonts w:ascii="Times New Roman" w:eastAsia="Times New Roman" w:hAnsi="Times New Roman" w:cs="Times New Roman"/>
          <w:b/>
          <w:sz w:val="24"/>
          <w:szCs w:val="24"/>
        </w:rPr>
        <w:t xml:space="preserve"> ličnu invalidninu je u 2018. </w:t>
      </w:r>
      <w:proofErr w:type="gramStart"/>
      <w:r w:rsidRPr="009F56B4">
        <w:rPr>
          <w:rFonts w:ascii="Times New Roman" w:eastAsia="Times New Roman" w:hAnsi="Times New Roman" w:cs="Times New Roman"/>
          <w:b/>
          <w:sz w:val="24"/>
          <w:szCs w:val="24"/>
        </w:rPr>
        <w:t>godini</w:t>
      </w:r>
      <w:proofErr w:type="gramEnd"/>
      <w:r w:rsidRPr="009F56B4">
        <w:rPr>
          <w:rFonts w:ascii="Times New Roman" w:eastAsia="Times New Roman" w:hAnsi="Times New Roman" w:cs="Times New Roman"/>
          <w:b/>
          <w:sz w:val="24"/>
          <w:szCs w:val="24"/>
        </w:rPr>
        <w:t xml:space="preserve"> u prosjeku koristilo 2,499 lica u Crnoj Gori, što čini 0,40% stanovnika Crne Gore.</w:t>
      </w:r>
      <w:r w:rsidRPr="009F56B4">
        <w:rPr>
          <w:rFonts w:ascii="Times New Roman" w:eastAsia="Times New Roman" w:hAnsi="Times New Roman" w:cs="Times New Roman"/>
          <w:sz w:val="24"/>
          <w:szCs w:val="24"/>
        </w:rPr>
        <w:t xml:space="preserve"> Broj korisnika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ličnu invalidninu po opštinama, odnosno sjedištima centara za socijalni rad, uglavnom prati broj stanovnika, tako da više korisnika imaju centri za socijalni rad koji pokrivaju teritorije opština sa više stanovnika. Udio korisnika prava na ličnu invalidninu u stanovništvu opština kreće se od 0</w:t>
      </w:r>
      <w:proofErr w:type="gramStart"/>
      <w:r w:rsidRPr="009F56B4">
        <w:rPr>
          <w:rFonts w:ascii="Times New Roman" w:eastAsia="Times New Roman" w:hAnsi="Times New Roman" w:cs="Times New Roman"/>
          <w:sz w:val="24"/>
          <w:szCs w:val="24"/>
        </w:rPr>
        <w:t>,24</w:t>
      </w:r>
      <w:proofErr w:type="gramEnd"/>
      <w:r w:rsidRPr="009F56B4">
        <w:rPr>
          <w:rFonts w:ascii="Times New Roman" w:eastAsia="Times New Roman" w:hAnsi="Times New Roman" w:cs="Times New Roman"/>
          <w:sz w:val="24"/>
          <w:szCs w:val="24"/>
        </w:rPr>
        <w:t xml:space="preserve">% u Kotoru do 0,57% u Cetinju, Plavu, Rožaju i Bijelom Polju.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numPr>
          <w:ilvl w:val="2"/>
          <w:numId w:val="8"/>
        </w:numPr>
        <w:shd w:val="clear" w:color="auto" w:fill="FFFFFF"/>
        <w:spacing w:after="0" w:line="240" w:lineRule="auto"/>
        <w:contextualSpacing/>
        <w:jc w:val="both"/>
        <w:rPr>
          <w:rFonts w:ascii="Times New Roman" w:eastAsia="Times New Roman" w:hAnsi="Times New Roman" w:cs="Times New Roman"/>
          <w:sz w:val="24"/>
          <w:szCs w:val="24"/>
          <w:u w:val="single"/>
        </w:rPr>
      </w:pPr>
      <w:r w:rsidRPr="009F56B4">
        <w:rPr>
          <w:rFonts w:ascii="Times New Roman" w:eastAsia="Times New Roman" w:hAnsi="Times New Roman" w:cs="Times New Roman"/>
          <w:sz w:val="24"/>
          <w:szCs w:val="24"/>
        </w:rPr>
        <w:t xml:space="preserve"> </w:t>
      </w:r>
      <w:r w:rsidRPr="009F56B4">
        <w:rPr>
          <w:rFonts w:ascii="Times New Roman" w:eastAsia="Times New Roman" w:hAnsi="Times New Roman" w:cs="Times New Roman"/>
          <w:sz w:val="24"/>
          <w:szCs w:val="24"/>
          <w:u w:val="single"/>
        </w:rPr>
        <w:t>Dodatak za njegu i pomoć</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u w:val="single"/>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Članom 33 Zakona o socijalnoj i dječjoj zaštiti propisano je da 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njegu i pomoć ima lice kome je zbog tjelesnih, mentalnih, intelektualnih ili senzornih oštećenja ili promjena u zdravstvenom stanju neophodna njega i pomoć da bi imalo obezbijeđen pristup zadovoljavanju potreba. 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njegu i pomoć može ostvariti lice pod uslovom da ovo pravo nije ostvarilo u skladu sa drugim zakonima i da nije korisnik prava na ličnu invalidninu u skladu sa ovim zakonom.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b/>
          <w:sz w:val="24"/>
          <w:szCs w:val="24"/>
        </w:rPr>
        <w:t>Visina dodatka za njegu i pomoć iznosi mjesečno 67</w:t>
      </w:r>
      <w:proofErr w:type="gramStart"/>
      <w:r w:rsidRPr="009F56B4">
        <w:rPr>
          <w:rFonts w:ascii="Times New Roman" w:eastAsia="Times New Roman" w:hAnsi="Times New Roman" w:cs="Times New Roman"/>
          <w:b/>
          <w:sz w:val="24"/>
          <w:szCs w:val="24"/>
        </w:rPr>
        <w:t>,10</w:t>
      </w:r>
      <w:proofErr w:type="gramEnd"/>
      <w:r w:rsidRPr="009F56B4">
        <w:rPr>
          <w:rFonts w:ascii="Times New Roman" w:eastAsia="Times New Roman" w:hAnsi="Times New Roman" w:cs="Times New Roman"/>
          <w:b/>
          <w:sz w:val="24"/>
          <w:szCs w:val="24"/>
        </w:rPr>
        <w:t xml:space="preserve"> eura</w:t>
      </w:r>
      <w:r w:rsidRPr="009F56B4">
        <w:rPr>
          <w:rFonts w:ascii="Times New Roman" w:eastAsia="Times New Roman" w:hAnsi="Times New Roman" w:cs="Times New Roman"/>
          <w:sz w:val="24"/>
          <w:szCs w:val="24"/>
        </w:rPr>
        <w:t xml:space="preserve"> (“Službeni list Crne Gore”, br. 060/18 od 07.09.2018. godine).</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u w:val="single"/>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Prema podacima koje su dostavili 12 od 13 centara za socijalni rad, u izvještajnom periodu podnijeto je 9,609 zahtjeva za ostvarivanje prava na dodatak za njegu i pomoć, od kojih je </w:t>
      </w:r>
      <w:r w:rsidRPr="009F56B4">
        <w:rPr>
          <w:rFonts w:ascii="Times New Roman" w:eastAsia="Times New Roman" w:hAnsi="Times New Roman" w:cs="Times New Roman"/>
          <w:sz w:val="24"/>
          <w:szCs w:val="24"/>
        </w:rPr>
        <w:lastRenderedPageBreak/>
        <w:t xml:space="preserve">pozitivno rješeno 5,854 ili 60,92%; 3,249 zahtjeva ili 33,81% rješeni su negativno, a 506 ili 5,27% zahtjeva je bilo nerješeno na dan 31.12.2018.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u w:val="single"/>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U strukturi korisnika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njegu i pomoć na dan 31.12.2018.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a prema podacima koje je dostavilo 9 od 13 centara za socijalni rad, muškarci su zastupljeni sa 48,23%, dok žene čine 51,77% korisnika. Posmatrano po uzrasnim grupama, preko 3/4 </w:t>
      </w:r>
      <w:proofErr w:type="gramStart"/>
      <w:r w:rsidRPr="009F56B4">
        <w:rPr>
          <w:rFonts w:ascii="Times New Roman" w:eastAsia="Times New Roman" w:hAnsi="Times New Roman" w:cs="Times New Roman"/>
          <w:sz w:val="24"/>
          <w:szCs w:val="24"/>
        </w:rPr>
        <w:t>korisnika  dodatka</w:t>
      </w:r>
      <w:proofErr w:type="gramEnd"/>
      <w:r w:rsidRPr="009F56B4">
        <w:rPr>
          <w:rFonts w:ascii="Times New Roman" w:eastAsia="Times New Roman" w:hAnsi="Times New Roman" w:cs="Times New Roman"/>
          <w:sz w:val="24"/>
          <w:szCs w:val="24"/>
        </w:rPr>
        <w:t xml:space="preserve"> za njegu i pomoć čine odrasla i starija lica, pri čemu su stariji zastupljeni sa 44,44%, a odrasli sa 33,01%. Nešto manje </w:t>
      </w:r>
      <w:proofErr w:type="gramStart"/>
      <w:r w:rsidRPr="009F56B4">
        <w:rPr>
          <w:rFonts w:ascii="Times New Roman" w:eastAsia="Times New Roman" w:hAnsi="Times New Roman" w:cs="Times New Roman"/>
          <w:sz w:val="24"/>
          <w:szCs w:val="24"/>
        </w:rPr>
        <w:t>od</w:t>
      </w:r>
      <w:proofErr w:type="gramEnd"/>
      <w:r w:rsidRPr="009F56B4">
        <w:rPr>
          <w:rFonts w:ascii="Times New Roman" w:eastAsia="Times New Roman" w:hAnsi="Times New Roman" w:cs="Times New Roman"/>
          <w:sz w:val="24"/>
          <w:szCs w:val="24"/>
        </w:rPr>
        <w:t xml:space="preserve"> 1/4 korisnika ovog prava čine djeca i mladi. Radi bolje preglednosti, distribuciju korisnika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njegu i pomoć</w:t>
      </w:r>
      <w:r>
        <w:rPr>
          <w:rFonts w:ascii="Times New Roman" w:eastAsia="Times New Roman" w:hAnsi="Times New Roman" w:cs="Times New Roman"/>
          <w:sz w:val="24"/>
          <w:szCs w:val="24"/>
        </w:rPr>
        <w:t xml:space="preserve"> po uzrasnim grupama prikazaćemo</w:t>
      </w:r>
      <w:r w:rsidRPr="009F56B4">
        <w:rPr>
          <w:rFonts w:ascii="Times New Roman" w:eastAsia="Times New Roman" w:hAnsi="Times New Roman" w:cs="Times New Roman"/>
          <w:sz w:val="24"/>
          <w:szCs w:val="24"/>
        </w:rPr>
        <w:t xml:space="preserve"> i grafički.</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Grafikon br. 9</w:t>
      </w:r>
      <w:r w:rsidRPr="009F56B4">
        <w:rPr>
          <w:rFonts w:ascii="Times New Roman" w:eastAsia="Times New Roman" w:hAnsi="Times New Roman" w:cs="Times New Roman"/>
          <w:b/>
          <w:i/>
          <w:color w:val="000000" w:themeColor="text1"/>
          <w:sz w:val="24"/>
          <w:szCs w:val="24"/>
        </w:rPr>
        <w:t xml:space="preserve">: Distribucija korisnika obuhvaćenih pravom </w:t>
      </w:r>
      <w:proofErr w:type="gramStart"/>
      <w:r w:rsidRPr="009F56B4">
        <w:rPr>
          <w:rFonts w:ascii="Times New Roman" w:eastAsia="Times New Roman" w:hAnsi="Times New Roman" w:cs="Times New Roman"/>
          <w:b/>
          <w:i/>
          <w:color w:val="000000" w:themeColor="text1"/>
          <w:sz w:val="24"/>
          <w:szCs w:val="24"/>
        </w:rPr>
        <w:t>na</w:t>
      </w:r>
      <w:proofErr w:type="gramEnd"/>
      <w:r w:rsidRPr="009F56B4">
        <w:rPr>
          <w:rFonts w:ascii="Times New Roman" w:eastAsia="Times New Roman" w:hAnsi="Times New Roman" w:cs="Times New Roman"/>
          <w:b/>
          <w:i/>
          <w:color w:val="000000" w:themeColor="text1"/>
          <w:sz w:val="24"/>
          <w:szCs w:val="24"/>
        </w:rPr>
        <w:t xml:space="preserve"> dodatak za njegu i pomoć po uzrasnim grupama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28A3C802" wp14:editId="2E3CB77D">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Kako bi stekli još potpuniju sliku u slijedećem grafikonu prikazaćemo strukturu korisnika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njegu i pomoć diferencirano po polu unutar svake uzrasne grupe.</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Grafikon br.10</w:t>
      </w:r>
      <w:r w:rsidRPr="009F56B4">
        <w:rPr>
          <w:rFonts w:ascii="Times New Roman" w:eastAsia="Times New Roman" w:hAnsi="Times New Roman" w:cs="Times New Roman"/>
          <w:b/>
          <w:i/>
          <w:sz w:val="24"/>
          <w:szCs w:val="24"/>
        </w:rPr>
        <w:t xml:space="preserve">: Starosna i polna struktura korisnika obuhvaćenih pravom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dodatak za njegu i pomoć na dan 31.12.2018. </w:t>
      </w:r>
      <w:proofErr w:type="gramStart"/>
      <w:r w:rsidRPr="009F56B4">
        <w:rPr>
          <w:rFonts w:ascii="Times New Roman" w:eastAsia="Times New Roman" w:hAnsi="Times New Roman" w:cs="Times New Roman"/>
          <w:b/>
          <w:i/>
          <w:sz w:val="24"/>
          <w:szCs w:val="24"/>
        </w:rPr>
        <w:t>godine</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1A590FC5" wp14:editId="65BEC345">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Iz grafičkog prikaza vidljivo je da u podgrupi djece obuhvaćene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njegu i pomoć dominiraju korisnici muškog pola, koji čine više od 2/3 maloljetnih korisnika. U svim ostalim starosnim grupama žene su diskretno zastupljenije, s </w:t>
      </w:r>
      <w:proofErr w:type="gramStart"/>
      <w:r w:rsidRPr="009F56B4">
        <w:rPr>
          <w:rFonts w:ascii="Times New Roman" w:eastAsia="Times New Roman" w:hAnsi="Times New Roman" w:cs="Times New Roman"/>
          <w:sz w:val="24"/>
          <w:szCs w:val="24"/>
        </w:rPr>
        <w:t>tim</w:t>
      </w:r>
      <w:proofErr w:type="gramEnd"/>
      <w:r w:rsidRPr="009F56B4">
        <w:rPr>
          <w:rFonts w:ascii="Times New Roman" w:eastAsia="Times New Roman" w:hAnsi="Times New Roman" w:cs="Times New Roman"/>
          <w:sz w:val="24"/>
          <w:szCs w:val="24"/>
        </w:rPr>
        <w:t xml:space="preserve"> što je nagovještena tendencija povećanja njihove zastupljenosti u starijim uzrasnim grupama.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tabeli broj 6</w:t>
      </w:r>
      <w:r w:rsidRPr="009F56B4">
        <w:rPr>
          <w:rFonts w:ascii="Times New Roman" w:eastAsia="Times New Roman" w:hAnsi="Times New Roman" w:cs="Times New Roman"/>
          <w:sz w:val="24"/>
          <w:szCs w:val="24"/>
        </w:rPr>
        <w:t xml:space="preserve"> prikazano je kretanje broja korisnika obuhvaćenih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njegu i pomoć tokom 2018 godine po sjedištima centara za socijalni rad.</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Tabela br.6</w:t>
      </w:r>
      <w:r w:rsidRPr="009F56B4">
        <w:rPr>
          <w:rFonts w:ascii="Times New Roman" w:eastAsia="Times New Roman" w:hAnsi="Times New Roman" w:cs="Times New Roman"/>
          <w:b/>
          <w:i/>
          <w:sz w:val="24"/>
          <w:szCs w:val="24"/>
        </w:rPr>
        <w:t xml:space="preserve">: Kretanje broja korisnika prava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dodatak za njegu i pomoć tokom 2018. </w:t>
      </w:r>
      <w:proofErr w:type="gramStart"/>
      <w:r w:rsidRPr="009F56B4">
        <w:rPr>
          <w:rFonts w:ascii="Times New Roman" w:eastAsia="Times New Roman" w:hAnsi="Times New Roman" w:cs="Times New Roman"/>
          <w:b/>
          <w:i/>
          <w:sz w:val="24"/>
          <w:szCs w:val="24"/>
        </w:rPr>
        <w:t>godine</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4C87E350" wp14:editId="14286488">
            <wp:extent cx="5760720" cy="180272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802723"/>
                    </a:xfrm>
                    <a:prstGeom prst="rect">
                      <a:avLst/>
                    </a:prstGeom>
                    <a:noFill/>
                    <a:ln>
                      <a:noFill/>
                    </a:ln>
                  </pic:spPr>
                </pic:pic>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Iz tabele vidimo da je najmanji broj korisnika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njegu i pomoć tokom 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bio u januaru (1109 korisnika), a najveći u decembru (1261 korisnik). U </w:t>
      </w:r>
      <w:proofErr w:type="gramStart"/>
      <w:r w:rsidRPr="009F56B4">
        <w:rPr>
          <w:rFonts w:ascii="Times New Roman" w:eastAsia="Times New Roman" w:hAnsi="Times New Roman" w:cs="Times New Roman"/>
          <w:sz w:val="24"/>
          <w:szCs w:val="24"/>
        </w:rPr>
        <w:t>periodu  januar</w:t>
      </w:r>
      <w:proofErr w:type="gramEnd"/>
      <w:r w:rsidRPr="009F56B4">
        <w:rPr>
          <w:rFonts w:ascii="Times New Roman" w:eastAsia="Times New Roman" w:hAnsi="Times New Roman" w:cs="Times New Roman"/>
          <w:sz w:val="24"/>
          <w:szCs w:val="24"/>
        </w:rPr>
        <w:t xml:space="preserve"> 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 decembar 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broj korisnika se uvećao za skoro 14%.  </w:t>
      </w:r>
      <w:r w:rsidRPr="009F56B4">
        <w:rPr>
          <w:rFonts w:ascii="Times New Roman" w:eastAsia="Times New Roman" w:hAnsi="Times New Roman" w:cs="Times New Roman"/>
          <w:b/>
          <w:sz w:val="24"/>
          <w:szCs w:val="24"/>
        </w:rPr>
        <w:t xml:space="preserve">Prosječan broj korisnika obuhvaćenih pravom na dodatak za njegu i pomoć u izvještajnom periodu bio </w:t>
      </w:r>
      <w:r w:rsidRPr="009F56B4">
        <w:rPr>
          <w:rFonts w:ascii="Times New Roman" w:eastAsia="Times New Roman" w:hAnsi="Times New Roman" w:cs="Times New Roman"/>
          <w:b/>
          <w:sz w:val="24"/>
          <w:szCs w:val="24"/>
        </w:rPr>
        <w:lastRenderedPageBreak/>
        <w:t>15,405, što čini 2</w:t>
      </w:r>
      <w:proofErr w:type="gramStart"/>
      <w:r w:rsidRPr="009F56B4">
        <w:rPr>
          <w:rFonts w:ascii="Times New Roman" w:eastAsia="Times New Roman" w:hAnsi="Times New Roman" w:cs="Times New Roman"/>
          <w:b/>
          <w:sz w:val="24"/>
          <w:szCs w:val="24"/>
        </w:rPr>
        <w:t>,48</w:t>
      </w:r>
      <w:proofErr w:type="gramEnd"/>
      <w:r w:rsidRPr="009F56B4">
        <w:rPr>
          <w:rFonts w:ascii="Times New Roman" w:eastAsia="Times New Roman" w:hAnsi="Times New Roman" w:cs="Times New Roman"/>
          <w:b/>
          <w:sz w:val="24"/>
          <w:szCs w:val="24"/>
        </w:rPr>
        <w:t xml:space="preserve"> % stanovnika Crne Gore</w:t>
      </w:r>
      <w:r w:rsidRPr="009F56B4">
        <w:rPr>
          <w:rFonts w:ascii="Times New Roman" w:eastAsia="Times New Roman" w:hAnsi="Times New Roman" w:cs="Times New Roman"/>
          <w:sz w:val="24"/>
          <w:szCs w:val="24"/>
        </w:rPr>
        <w:t>. Udio korisnika prava na dodatak za njegu i pomoć u stanovništvu opština varira u rasponu od 0</w:t>
      </w:r>
      <w:proofErr w:type="gramStart"/>
      <w:r w:rsidRPr="009F56B4">
        <w:rPr>
          <w:rFonts w:ascii="Times New Roman" w:eastAsia="Times New Roman" w:hAnsi="Times New Roman" w:cs="Times New Roman"/>
          <w:sz w:val="24"/>
          <w:szCs w:val="24"/>
        </w:rPr>
        <w:t>,91</w:t>
      </w:r>
      <w:proofErr w:type="gramEnd"/>
      <w:r w:rsidRPr="009F56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 Kotoru do 4,27% u Pljevljima.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numPr>
          <w:ilvl w:val="1"/>
          <w:numId w:val="8"/>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 OSNOVNA MATERIJALNA DAVANJA U DJEČJOJ ZAŠTITI</w:t>
      </w:r>
    </w:p>
    <w:p w:rsidR="007E63B6" w:rsidRPr="009F56B4" w:rsidRDefault="007E63B6" w:rsidP="007E63B6">
      <w:pPr>
        <w:shd w:val="clear" w:color="auto" w:fill="FFFFFF"/>
        <w:spacing w:after="0" w:line="240" w:lineRule="auto"/>
        <w:ind w:left="1211"/>
        <w:contextualSpacing/>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Osnovna materijalna davanja iz dječje zaštite su:</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naknada za novorođeno dijete; </w:t>
      </w:r>
    </w:p>
    <w:p w:rsidR="007E63B6" w:rsidRPr="009F56B4" w:rsidRDefault="007E63B6" w:rsidP="007E63B6">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dodatak za djecu;</w:t>
      </w:r>
    </w:p>
    <w:p w:rsidR="007E63B6" w:rsidRPr="009F56B4" w:rsidRDefault="007E63B6" w:rsidP="007E63B6">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troškovi ishrane u predškolskim ustanovama;</w:t>
      </w:r>
    </w:p>
    <w:p w:rsidR="007E63B6" w:rsidRPr="009F56B4" w:rsidRDefault="007E63B6" w:rsidP="007E63B6">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pomoć za vaspitanje i obrazovanje djece i mladih sa posebnim obrazovnim potrebama;</w:t>
      </w:r>
    </w:p>
    <w:p w:rsidR="007E63B6" w:rsidRPr="009F56B4" w:rsidRDefault="007E63B6" w:rsidP="007E63B6">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refundacija naknade zarade i naknada zarade za porodiljsko, odnosno roditeljsko odsustvo;</w:t>
      </w:r>
    </w:p>
    <w:p w:rsidR="007E63B6" w:rsidRPr="009F56B4" w:rsidRDefault="007E63B6" w:rsidP="007E63B6">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naknada po osnovu rođenja djeteta;</w:t>
      </w:r>
    </w:p>
    <w:p w:rsidR="007E63B6" w:rsidRPr="009F56B4" w:rsidRDefault="007E63B6" w:rsidP="007E63B6">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refundacija</w:t>
      </w:r>
      <w:proofErr w:type="gramEnd"/>
      <w:r w:rsidRPr="009F56B4">
        <w:rPr>
          <w:rFonts w:ascii="Times New Roman" w:eastAsia="Times New Roman" w:hAnsi="Times New Roman" w:cs="Times New Roman"/>
          <w:sz w:val="24"/>
          <w:szCs w:val="24"/>
        </w:rPr>
        <w:t xml:space="preserve"> naknade zarade i naknada zarade za rad sa polovinom punog radnog vremena.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Država može obezbjediti i druga materijalna davanja iz dječje zaštite, u skladu </w:t>
      </w:r>
      <w:proofErr w:type="gramStart"/>
      <w:r w:rsidRPr="009F56B4">
        <w:rPr>
          <w:rFonts w:ascii="Times New Roman" w:eastAsia="Times New Roman" w:hAnsi="Times New Roman" w:cs="Times New Roman"/>
          <w:sz w:val="24"/>
          <w:szCs w:val="24"/>
        </w:rPr>
        <w:t>sa</w:t>
      </w:r>
      <w:proofErr w:type="gramEnd"/>
      <w:r w:rsidRPr="009F56B4">
        <w:rPr>
          <w:rFonts w:ascii="Times New Roman" w:eastAsia="Times New Roman" w:hAnsi="Times New Roman" w:cs="Times New Roman"/>
          <w:sz w:val="24"/>
          <w:szCs w:val="24"/>
        </w:rPr>
        <w:t xml:space="preserve"> materijalnim mogućnostima (prema članu 40 stav 2 Zakona o socijalnoj i dječjoj zaštiti).</w:t>
      </w: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 tabeli broj 7.</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prikazana</w:t>
      </w:r>
      <w:proofErr w:type="gramEnd"/>
      <w:r w:rsidRPr="009F56B4">
        <w:rPr>
          <w:rFonts w:ascii="Times New Roman" w:eastAsia="Times New Roman" w:hAnsi="Times New Roman" w:cs="Times New Roman"/>
          <w:sz w:val="24"/>
          <w:szCs w:val="24"/>
        </w:rPr>
        <w:t xml:space="preserve"> je distribucija korisnika osnovnih materijalnih davanja u dječjoj zaštiti u 2018. </w:t>
      </w:r>
      <w:proofErr w:type="gramStart"/>
      <w:r w:rsidRPr="009F56B4">
        <w:rPr>
          <w:rFonts w:ascii="Times New Roman" w:eastAsia="Times New Roman" w:hAnsi="Times New Roman" w:cs="Times New Roman"/>
          <w:sz w:val="24"/>
          <w:szCs w:val="24"/>
        </w:rPr>
        <w:t>go</w:t>
      </w:r>
      <w:r>
        <w:rPr>
          <w:rFonts w:ascii="Times New Roman" w:eastAsia="Times New Roman" w:hAnsi="Times New Roman" w:cs="Times New Roman"/>
          <w:sz w:val="24"/>
          <w:szCs w:val="24"/>
        </w:rPr>
        <w:t>dini</w:t>
      </w:r>
      <w:proofErr w:type="gramEnd"/>
      <w:r>
        <w:rPr>
          <w:rFonts w:ascii="Times New Roman" w:eastAsia="Times New Roman" w:hAnsi="Times New Roman" w:cs="Times New Roman"/>
          <w:sz w:val="24"/>
          <w:szCs w:val="24"/>
        </w:rPr>
        <w:t>, prema kategorijama prava.</w:t>
      </w: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Tabela br.7</w:t>
      </w:r>
      <w:r w:rsidRPr="009F56B4">
        <w:rPr>
          <w:rFonts w:ascii="Times New Roman" w:eastAsia="Times New Roman" w:hAnsi="Times New Roman" w:cs="Times New Roman"/>
          <w:b/>
          <w:i/>
          <w:sz w:val="24"/>
          <w:szCs w:val="24"/>
        </w:rPr>
        <w:t xml:space="preserve">: Obuhvat korisnika osnovnim materijalnim davanjima iz dječje zaštite u 2018. </w:t>
      </w:r>
      <w:proofErr w:type="gramStart"/>
      <w:r w:rsidRPr="009F56B4">
        <w:rPr>
          <w:rFonts w:ascii="Times New Roman" w:eastAsia="Times New Roman" w:hAnsi="Times New Roman" w:cs="Times New Roman"/>
          <w:b/>
          <w:i/>
          <w:sz w:val="24"/>
          <w:szCs w:val="24"/>
        </w:rPr>
        <w:t>godini</w:t>
      </w:r>
      <w:proofErr w:type="gramEnd"/>
    </w:p>
    <w:tbl>
      <w:tblPr>
        <w:tblW w:w="4346" w:type="dxa"/>
        <w:tblInd w:w="93" w:type="dxa"/>
        <w:tblLook w:val="04A0" w:firstRow="1" w:lastRow="0" w:firstColumn="1" w:lastColumn="0" w:noHBand="0" w:noVBand="1"/>
      </w:tblPr>
      <w:tblGrid>
        <w:gridCol w:w="2380"/>
        <w:gridCol w:w="961"/>
        <w:gridCol w:w="1005"/>
      </w:tblGrid>
      <w:tr w:rsidR="007E63B6" w:rsidRPr="009F56B4" w:rsidTr="00D904E7">
        <w:trPr>
          <w:trHeight w:val="570"/>
        </w:trPr>
        <w:tc>
          <w:tcPr>
            <w:tcW w:w="23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E63B6" w:rsidRPr="009F56B4" w:rsidRDefault="007E63B6" w:rsidP="00D904E7">
            <w:pPr>
              <w:spacing w:after="0" w:line="240" w:lineRule="auto"/>
              <w:jc w:val="center"/>
              <w:rPr>
                <w:rFonts w:ascii="Times New Roman" w:eastAsia="Times New Roman" w:hAnsi="Times New Roman" w:cs="Times New Roman"/>
                <w:b/>
                <w:bCs/>
                <w:i/>
                <w:iCs/>
                <w:color w:val="000000"/>
                <w:sz w:val="20"/>
                <w:szCs w:val="20"/>
                <w:lang w:val="sr-Latn-ME" w:eastAsia="sr-Latn-ME"/>
              </w:rPr>
            </w:pPr>
            <w:r w:rsidRPr="009F56B4">
              <w:rPr>
                <w:rFonts w:ascii="Times New Roman" w:eastAsia="Times New Roman" w:hAnsi="Times New Roman" w:cs="Times New Roman"/>
                <w:b/>
                <w:bCs/>
                <w:i/>
                <w:iCs/>
                <w:color w:val="000000"/>
                <w:sz w:val="20"/>
                <w:szCs w:val="20"/>
                <w:lang w:val="sr-Latn-ME" w:eastAsia="sr-Latn-ME"/>
              </w:rPr>
              <w:t>Osnovna materijalna davanja iz dječje zaštite</w:t>
            </w:r>
          </w:p>
        </w:tc>
        <w:tc>
          <w:tcPr>
            <w:tcW w:w="961" w:type="dxa"/>
            <w:tcBorders>
              <w:top w:val="single" w:sz="4" w:space="0" w:color="auto"/>
              <w:left w:val="nil"/>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Broj korisnika</w:t>
            </w:r>
          </w:p>
        </w:tc>
        <w:tc>
          <w:tcPr>
            <w:tcW w:w="1005" w:type="dxa"/>
            <w:tcBorders>
              <w:top w:val="single" w:sz="4" w:space="0" w:color="auto"/>
              <w:left w:val="nil"/>
              <w:bottom w:val="single" w:sz="4" w:space="0" w:color="auto"/>
              <w:right w:val="single" w:sz="4" w:space="0" w:color="auto"/>
            </w:tcBorders>
            <w:shd w:val="clear" w:color="000000" w:fill="DCE6F1"/>
            <w:noWrap/>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Procenat</w:t>
            </w:r>
          </w:p>
        </w:tc>
      </w:tr>
      <w:tr w:rsidR="007E63B6" w:rsidRPr="009F56B4" w:rsidTr="00D904E7">
        <w:trPr>
          <w:trHeight w:val="615"/>
        </w:trPr>
        <w:tc>
          <w:tcPr>
            <w:tcW w:w="2380" w:type="dxa"/>
            <w:tcBorders>
              <w:top w:val="nil"/>
              <w:left w:val="single" w:sz="4" w:space="0" w:color="auto"/>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Naknada za novorođeno dijete</w:t>
            </w:r>
          </w:p>
        </w:tc>
        <w:tc>
          <w:tcPr>
            <w:tcW w:w="961"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6510</w:t>
            </w:r>
          </w:p>
        </w:tc>
        <w:tc>
          <w:tcPr>
            <w:tcW w:w="1005"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18,96%</w:t>
            </w:r>
          </w:p>
        </w:tc>
      </w:tr>
      <w:tr w:rsidR="007E63B6" w:rsidRPr="009F56B4" w:rsidTr="00D904E7">
        <w:trPr>
          <w:trHeight w:val="585"/>
        </w:trPr>
        <w:tc>
          <w:tcPr>
            <w:tcW w:w="2380" w:type="dxa"/>
            <w:tcBorders>
              <w:top w:val="nil"/>
              <w:left w:val="single" w:sz="4" w:space="0" w:color="auto"/>
              <w:bottom w:val="single" w:sz="4" w:space="0" w:color="auto"/>
              <w:right w:val="single" w:sz="4" w:space="0" w:color="auto"/>
            </w:tcBorders>
            <w:shd w:val="clear" w:color="000000" w:fill="DCE6F1"/>
            <w:noWrap/>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Dodatak za djecu</w:t>
            </w:r>
          </w:p>
        </w:tc>
        <w:tc>
          <w:tcPr>
            <w:tcW w:w="961"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14974</w:t>
            </w:r>
          </w:p>
        </w:tc>
        <w:tc>
          <w:tcPr>
            <w:tcW w:w="1005"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43,61%</w:t>
            </w:r>
          </w:p>
        </w:tc>
      </w:tr>
      <w:tr w:rsidR="007E63B6" w:rsidRPr="009F56B4" w:rsidTr="00D904E7">
        <w:trPr>
          <w:trHeight w:val="675"/>
        </w:trPr>
        <w:tc>
          <w:tcPr>
            <w:tcW w:w="2380" w:type="dxa"/>
            <w:tcBorders>
              <w:top w:val="nil"/>
              <w:left w:val="single" w:sz="4" w:space="0" w:color="auto"/>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Troškovi ishrane u predškolskim ustanovama</w:t>
            </w:r>
          </w:p>
        </w:tc>
        <w:tc>
          <w:tcPr>
            <w:tcW w:w="961"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2742</w:t>
            </w:r>
          </w:p>
        </w:tc>
        <w:tc>
          <w:tcPr>
            <w:tcW w:w="1005"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7,98%</w:t>
            </w:r>
          </w:p>
        </w:tc>
      </w:tr>
      <w:tr w:rsidR="007E63B6" w:rsidRPr="009F56B4" w:rsidTr="00D904E7">
        <w:trPr>
          <w:trHeight w:val="765"/>
        </w:trPr>
        <w:tc>
          <w:tcPr>
            <w:tcW w:w="2380" w:type="dxa"/>
            <w:tcBorders>
              <w:top w:val="nil"/>
              <w:left w:val="single" w:sz="4" w:space="0" w:color="auto"/>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Pomoć za vaspitanje i obrazovanje djece i mladih sa posebnim obrazovnim potrebama</w:t>
            </w:r>
          </w:p>
        </w:tc>
        <w:tc>
          <w:tcPr>
            <w:tcW w:w="961"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263</w:t>
            </w:r>
          </w:p>
        </w:tc>
        <w:tc>
          <w:tcPr>
            <w:tcW w:w="1005"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0,77%</w:t>
            </w:r>
          </w:p>
        </w:tc>
      </w:tr>
      <w:tr w:rsidR="007E63B6" w:rsidRPr="009F56B4" w:rsidTr="00D904E7">
        <w:trPr>
          <w:trHeight w:val="999"/>
        </w:trPr>
        <w:tc>
          <w:tcPr>
            <w:tcW w:w="2380" w:type="dxa"/>
            <w:tcBorders>
              <w:top w:val="nil"/>
              <w:left w:val="single" w:sz="4" w:space="0" w:color="auto"/>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Refundacija naknade zarade i naknada zarade za porodiljsko, odnosno roditeljsko odsustvo</w:t>
            </w:r>
          </w:p>
        </w:tc>
        <w:tc>
          <w:tcPr>
            <w:tcW w:w="961"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6196</w:t>
            </w:r>
          </w:p>
        </w:tc>
        <w:tc>
          <w:tcPr>
            <w:tcW w:w="1005"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18,04%</w:t>
            </w:r>
          </w:p>
        </w:tc>
      </w:tr>
      <w:tr w:rsidR="007E63B6" w:rsidRPr="009F56B4" w:rsidTr="00D904E7">
        <w:trPr>
          <w:trHeight w:val="615"/>
        </w:trPr>
        <w:tc>
          <w:tcPr>
            <w:tcW w:w="2380" w:type="dxa"/>
            <w:tcBorders>
              <w:top w:val="nil"/>
              <w:left w:val="single" w:sz="4" w:space="0" w:color="auto"/>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Naknada po osnovu rođenja djeteta</w:t>
            </w:r>
          </w:p>
        </w:tc>
        <w:tc>
          <w:tcPr>
            <w:tcW w:w="961"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3515</w:t>
            </w:r>
          </w:p>
        </w:tc>
        <w:tc>
          <w:tcPr>
            <w:tcW w:w="1005"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10,24%</w:t>
            </w:r>
          </w:p>
        </w:tc>
      </w:tr>
      <w:tr w:rsidR="007E63B6" w:rsidRPr="009F56B4" w:rsidTr="00D904E7">
        <w:trPr>
          <w:trHeight w:val="1080"/>
        </w:trPr>
        <w:tc>
          <w:tcPr>
            <w:tcW w:w="2380" w:type="dxa"/>
            <w:tcBorders>
              <w:top w:val="nil"/>
              <w:left w:val="single" w:sz="4" w:space="0" w:color="auto"/>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Times New Roman" w:eastAsia="Times New Roman" w:hAnsi="Times New Roman" w:cs="Times New Roman"/>
                <w:color w:val="000000"/>
                <w:sz w:val="20"/>
                <w:szCs w:val="20"/>
                <w:lang w:val="sr-Latn-ME" w:eastAsia="sr-Latn-ME"/>
              </w:rPr>
            </w:pPr>
            <w:r w:rsidRPr="009F56B4">
              <w:rPr>
                <w:rFonts w:ascii="Times New Roman" w:eastAsia="Times New Roman" w:hAnsi="Times New Roman" w:cs="Times New Roman"/>
                <w:color w:val="000000"/>
                <w:sz w:val="20"/>
                <w:szCs w:val="20"/>
                <w:lang w:val="sr-Latn-ME" w:eastAsia="sr-Latn-ME"/>
              </w:rPr>
              <w:t>Refundacija naknade zarade i naknada zarade za rad sa polovinom punog radnog vremena</w:t>
            </w:r>
          </w:p>
        </w:tc>
        <w:tc>
          <w:tcPr>
            <w:tcW w:w="961"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140</w:t>
            </w:r>
          </w:p>
        </w:tc>
        <w:tc>
          <w:tcPr>
            <w:tcW w:w="1005"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0,41%</w:t>
            </w:r>
          </w:p>
        </w:tc>
      </w:tr>
      <w:tr w:rsidR="007E63B6" w:rsidRPr="009F56B4" w:rsidTr="00D904E7">
        <w:trPr>
          <w:trHeight w:val="420"/>
        </w:trPr>
        <w:tc>
          <w:tcPr>
            <w:tcW w:w="2380" w:type="dxa"/>
            <w:tcBorders>
              <w:top w:val="nil"/>
              <w:left w:val="single" w:sz="4" w:space="0" w:color="auto"/>
              <w:bottom w:val="single" w:sz="4" w:space="0" w:color="auto"/>
              <w:right w:val="single" w:sz="4" w:space="0" w:color="auto"/>
            </w:tcBorders>
            <w:shd w:val="clear" w:color="000000" w:fill="C5D9F1"/>
            <w:noWrap/>
            <w:vAlign w:val="bottom"/>
            <w:hideMark/>
          </w:tcPr>
          <w:p w:rsidR="007E63B6" w:rsidRPr="009F56B4" w:rsidRDefault="007E63B6" w:rsidP="00D904E7">
            <w:pPr>
              <w:spacing w:after="0" w:line="240" w:lineRule="auto"/>
              <w:jc w:val="center"/>
              <w:rPr>
                <w:rFonts w:ascii="Times New Roman" w:eastAsia="Times New Roman" w:hAnsi="Times New Roman" w:cs="Times New Roman"/>
                <w:b/>
                <w:bCs/>
                <w:color w:val="000000"/>
                <w:sz w:val="20"/>
                <w:szCs w:val="20"/>
                <w:lang w:val="sr-Latn-ME" w:eastAsia="sr-Latn-ME"/>
              </w:rPr>
            </w:pPr>
            <w:r w:rsidRPr="009F56B4">
              <w:rPr>
                <w:rFonts w:ascii="Times New Roman" w:eastAsia="Times New Roman" w:hAnsi="Times New Roman" w:cs="Times New Roman"/>
                <w:b/>
                <w:bCs/>
                <w:color w:val="000000"/>
                <w:sz w:val="20"/>
                <w:szCs w:val="20"/>
                <w:lang w:val="sr-Latn-ME" w:eastAsia="sr-Latn-ME"/>
              </w:rPr>
              <w:t>Ukupno</w:t>
            </w:r>
          </w:p>
        </w:tc>
        <w:tc>
          <w:tcPr>
            <w:tcW w:w="961"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34340</w:t>
            </w:r>
          </w:p>
        </w:tc>
        <w:tc>
          <w:tcPr>
            <w:tcW w:w="1005"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Times New Roman" w:eastAsia="Times New Roman" w:hAnsi="Times New Roman" w:cs="Times New Roman"/>
                <w:color w:val="000000"/>
                <w:lang w:val="sr-Latn-ME" w:eastAsia="sr-Latn-ME"/>
              </w:rPr>
            </w:pPr>
            <w:r w:rsidRPr="009F56B4">
              <w:rPr>
                <w:rFonts w:ascii="Times New Roman" w:eastAsia="Times New Roman" w:hAnsi="Times New Roman" w:cs="Times New Roman"/>
                <w:color w:val="000000"/>
                <w:lang w:val="sr-Latn-ME" w:eastAsia="sr-Latn-ME"/>
              </w:rPr>
              <w:t>100,00%</w:t>
            </w:r>
          </w:p>
        </w:tc>
      </w:tr>
    </w:tbl>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lastRenderedPageBreak/>
        <w:t>Radi lakšeg uvida, zastupljenost korisnika osnovnih materijalnih davanja iz dječje zaštite prema kategorijama prava prikazaćemo i grafički.</w:t>
      </w:r>
      <w:proofErr w:type="gramEnd"/>
      <w:r w:rsidRPr="009F56B4">
        <w:rPr>
          <w:rFonts w:ascii="Times New Roman" w:eastAsia="Times New Roman" w:hAnsi="Times New Roman" w:cs="Times New Roman"/>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Grafikon br. 11</w:t>
      </w:r>
      <w:r w:rsidRPr="009F56B4">
        <w:rPr>
          <w:rFonts w:ascii="Times New Roman" w:eastAsia="Times New Roman" w:hAnsi="Times New Roman" w:cs="Times New Roman"/>
          <w:b/>
          <w:i/>
          <w:sz w:val="24"/>
          <w:szCs w:val="24"/>
        </w:rPr>
        <w:t xml:space="preserve">: Zastupljenost korisnika osnovnih materijalnih davanja u 2018. </w:t>
      </w:r>
      <w:proofErr w:type="gramStart"/>
      <w:r w:rsidRPr="009F56B4">
        <w:rPr>
          <w:rFonts w:ascii="Times New Roman" w:eastAsia="Times New Roman" w:hAnsi="Times New Roman" w:cs="Times New Roman"/>
          <w:b/>
          <w:i/>
          <w:sz w:val="24"/>
          <w:szCs w:val="24"/>
        </w:rPr>
        <w:t>godini</w:t>
      </w:r>
      <w:proofErr w:type="gramEnd"/>
      <w:r w:rsidRPr="009F56B4">
        <w:rPr>
          <w:rFonts w:ascii="Times New Roman" w:eastAsia="Times New Roman" w:hAnsi="Times New Roman" w:cs="Times New Roman"/>
          <w:b/>
          <w:i/>
          <w:sz w:val="24"/>
          <w:szCs w:val="24"/>
        </w:rPr>
        <w:t xml:space="preserve"> prema kategorijama prava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rPr>
          <w:rFonts w:ascii="Times New Roman" w:eastAsia="Times New Roman" w:hAnsi="Times New Roman" w:cs="Times New Roman"/>
          <w:b/>
          <w:i/>
          <w:sz w:val="24"/>
          <w:szCs w:val="24"/>
        </w:rPr>
      </w:pPr>
      <w:r w:rsidRPr="009F56B4">
        <w:rPr>
          <w:noProof/>
        </w:rPr>
        <w:drawing>
          <wp:inline distT="0" distB="0" distL="0" distR="0" wp14:anchorId="0E51345A" wp14:editId="5C520E40">
            <wp:extent cx="4572000" cy="5907506"/>
            <wp:effectExtent l="0" t="0" r="19050" b="1714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63B6" w:rsidRPr="009F56B4" w:rsidRDefault="007E63B6" w:rsidP="007E63B6">
      <w:pPr>
        <w:shd w:val="clear" w:color="auto" w:fill="FFFFFF"/>
        <w:spacing w:after="0" w:line="240" w:lineRule="auto"/>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Iz grafikona vidimo da je najčešće korišćeno materijalno davanje iz dječje zaštite u 2018.</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w:t>
      </w:r>
      <w:r w:rsidRPr="009F56B4">
        <w:rPr>
          <w:rFonts w:ascii="Times New Roman" w:eastAsia="Times New Roman" w:hAnsi="Times New Roman" w:cs="Times New Roman"/>
          <w:b/>
          <w:sz w:val="24"/>
          <w:szCs w:val="24"/>
        </w:rPr>
        <w:t>dodatak za djecu</w:t>
      </w:r>
      <w:r w:rsidRPr="009F56B4">
        <w:rPr>
          <w:rFonts w:ascii="Times New Roman" w:eastAsia="Times New Roman" w:hAnsi="Times New Roman" w:cs="Times New Roman"/>
          <w:sz w:val="24"/>
          <w:szCs w:val="24"/>
        </w:rPr>
        <w:t xml:space="preserve">, kojim je obuhvaćeno približno 44% korisnika od ukupnog broja korisnika svih materijalnih davanja u dječjoj zaštiti. Slijede naknada za novorođeno dijete i refundacija naknade zarade i naknada zarade za porodiljsko, odnosno roditeljsko odsustvo, kojim pravima je obuhvaćeno nešto više </w:t>
      </w:r>
      <w:proofErr w:type="gramStart"/>
      <w:r w:rsidRPr="009F56B4">
        <w:rPr>
          <w:rFonts w:ascii="Times New Roman" w:eastAsia="Times New Roman" w:hAnsi="Times New Roman" w:cs="Times New Roman"/>
          <w:sz w:val="24"/>
          <w:szCs w:val="24"/>
        </w:rPr>
        <w:t>od</w:t>
      </w:r>
      <w:proofErr w:type="gramEnd"/>
      <w:r w:rsidRPr="009F56B4">
        <w:rPr>
          <w:rFonts w:ascii="Times New Roman" w:eastAsia="Times New Roman" w:hAnsi="Times New Roman" w:cs="Times New Roman"/>
          <w:sz w:val="24"/>
          <w:szCs w:val="24"/>
        </w:rPr>
        <w:t xml:space="preserve"> 1/3 korisnika.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 grafikonu broj 12.</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dat</w:t>
      </w:r>
      <w:proofErr w:type="gramEnd"/>
      <w:r w:rsidRPr="009F56B4">
        <w:rPr>
          <w:rFonts w:ascii="Times New Roman" w:eastAsia="Times New Roman" w:hAnsi="Times New Roman" w:cs="Times New Roman"/>
          <w:sz w:val="24"/>
          <w:szCs w:val="24"/>
        </w:rPr>
        <w:t xml:space="preserve"> je uporedni prikaz broja korisnika osnovnih materijalnih iz dječje zaštite, prema kategorijama prava, za 2017.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i 2018. </w:t>
      </w:r>
      <w:proofErr w:type="gramStart"/>
      <w:r w:rsidRPr="009F56B4">
        <w:rPr>
          <w:rFonts w:ascii="Times New Roman" w:eastAsia="Times New Roman" w:hAnsi="Times New Roman" w:cs="Times New Roman"/>
          <w:sz w:val="24"/>
          <w:szCs w:val="24"/>
        </w:rPr>
        <w:t>godinu</w:t>
      </w:r>
      <w:proofErr w:type="gramEnd"/>
      <w:r w:rsidRPr="009F56B4">
        <w:rPr>
          <w:rFonts w:ascii="Times New Roman" w:eastAsia="Times New Roman" w:hAnsi="Times New Roman" w:cs="Times New Roman"/>
          <w:sz w:val="24"/>
          <w:szCs w:val="24"/>
        </w:rPr>
        <w:t xml:space="preserve">. U prikaz nijesu uključeni podaci o korisnicima prava na refundaciju naknade zarade za rad sa polovinom </w:t>
      </w:r>
      <w:proofErr w:type="gramStart"/>
      <w:r w:rsidRPr="009F56B4">
        <w:rPr>
          <w:rFonts w:ascii="Times New Roman" w:eastAsia="Times New Roman" w:hAnsi="Times New Roman" w:cs="Times New Roman"/>
          <w:sz w:val="24"/>
          <w:szCs w:val="24"/>
        </w:rPr>
        <w:t>punog  radnog</w:t>
      </w:r>
      <w:proofErr w:type="gramEnd"/>
      <w:r w:rsidRPr="009F56B4">
        <w:rPr>
          <w:rFonts w:ascii="Times New Roman" w:eastAsia="Times New Roman" w:hAnsi="Times New Roman" w:cs="Times New Roman"/>
          <w:sz w:val="24"/>
          <w:szCs w:val="24"/>
        </w:rPr>
        <w:t xml:space="preserve"> vremena poslodavcu s obzirom da je udio korisnika ovog prava u strukturi korisnika prava na osnovna materijalna davanja iz dječje zaštite zanemarljiv (vidjeti prthodni grafikon). </w:t>
      </w: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Grafikon br.12</w:t>
      </w:r>
      <w:r w:rsidRPr="009F56B4">
        <w:rPr>
          <w:rFonts w:ascii="Times New Roman" w:eastAsia="Times New Roman" w:hAnsi="Times New Roman" w:cs="Times New Roman"/>
          <w:b/>
          <w:i/>
          <w:sz w:val="24"/>
          <w:szCs w:val="24"/>
        </w:rPr>
        <w:t>: Odnos broja korisnika osnovnih materijalnih davanja iz dječje zaštite, prema kategorijama prava, u 2017 i 2018 godini</w:t>
      </w:r>
    </w:p>
    <w:p w:rsidR="007E63B6" w:rsidRPr="009F56B4" w:rsidRDefault="007E63B6" w:rsidP="007E63B6">
      <w:pPr>
        <w:shd w:val="clear" w:color="auto" w:fill="FFFFFF"/>
        <w:spacing w:after="0" w:line="240" w:lineRule="auto"/>
        <w:rPr>
          <w:rFonts w:ascii="Times New Roman" w:eastAsia="Times New Roman" w:hAnsi="Times New Roman" w:cs="Times New Roman"/>
          <w:b/>
          <w:i/>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noProof/>
        </w:rPr>
        <w:drawing>
          <wp:inline distT="0" distB="0" distL="0" distR="0" wp14:anchorId="383F1479" wp14:editId="67014749">
            <wp:extent cx="5143500" cy="5901490"/>
            <wp:effectExtent l="0" t="0" r="19050" b="2349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Iz grafikona je vidljivo da se u 2018.</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bilježi povećanje broja korisnika prava na naknadu za novorođeno dijete, broja korisnika prava na dodatak za djecu i refundacije naknade zarade i </w:t>
      </w:r>
      <w:r w:rsidRPr="009F56B4">
        <w:rPr>
          <w:rFonts w:ascii="Times New Roman" w:eastAsia="Times New Roman" w:hAnsi="Times New Roman" w:cs="Times New Roman"/>
          <w:sz w:val="24"/>
          <w:szCs w:val="24"/>
        </w:rPr>
        <w:lastRenderedPageBreak/>
        <w:t xml:space="preserve">naknada zarade za porodiljsko, odnosno roditeljsko odsustvo. Istovremeno, uočava se relativno diskretno smanjenje broja korisnika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troškove ishrane u javnoj predškolskoj ustanovi, prava na pomoć za vaspitanje i obrazovanje djece i mladih sa posebnim obrazovnim potrebama i prava na naknadu po osnovu rođenja djeteta. </w:t>
      </w: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Izraženo u procentima, najveći porast od čak 146</w:t>
      </w:r>
      <w:proofErr w:type="gramStart"/>
      <w:r w:rsidRPr="009F56B4">
        <w:rPr>
          <w:rFonts w:ascii="Times New Roman" w:eastAsia="Times New Roman" w:hAnsi="Times New Roman" w:cs="Times New Roman"/>
          <w:sz w:val="24"/>
          <w:szCs w:val="24"/>
        </w:rPr>
        <w:t>,56</w:t>
      </w:r>
      <w:proofErr w:type="gramEnd"/>
      <w:r w:rsidRPr="009F56B4">
        <w:rPr>
          <w:rFonts w:ascii="Times New Roman" w:eastAsia="Times New Roman" w:hAnsi="Times New Roman" w:cs="Times New Roman"/>
          <w:sz w:val="24"/>
          <w:szCs w:val="24"/>
        </w:rPr>
        <w:t xml:space="preserve">%, u poređenju sa brojem korisnika u 2017.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evidentira se vezano za pravo na refundaciju sredstava po osnovu isplate naknade zarade zaposlenom za porodiljsko, odnosno roditeljsko odsustvo. Takođe, broj korisnika jednokratne naknade za novorođeno dijete do navršene jedne godine života uvećao se u 2018.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za skoro 50% u odnosu na 2017. </w:t>
      </w:r>
      <w:proofErr w:type="gramStart"/>
      <w:r w:rsidRPr="009F56B4">
        <w:rPr>
          <w:rFonts w:ascii="Times New Roman" w:eastAsia="Times New Roman" w:hAnsi="Times New Roman" w:cs="Times New Roman"/>
          <w:sz w:val="24"/>
          <w:szCs w:val="24"/>
        </w:rPr>
        <w:t>godinu</w:t>
      </w:r>
      <w:proofErr w:type="gramEnd"/>
      <w:r w:rsidRPr="009F56B4">
        <w:rPr>
          <w:rFonts w:ascii="Times New Roman" w:eastAsia="Times New Roman" w:hAnsi="Times New Roman" w:cs="Times New Roman"/>
          <w:sz w:val="24"/>
          <w:szCs w:val="24"/>
        </w:rPr>
        <w:t xml:space="preserve">. U istom periodu broj korisnika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mjesečnu naknadu po osnovu rođenja djeteta, koje pravo može ostvariti jedan od roditelja koji je na evidenciji Zavoda za zapošljavanje i student, do navršene jedne godine života djeteta, je u 2018.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za oko 15% manji nego u 2017. </w:t>
      </w:r>
      <w:proofErr w:type="gramStart"/>
      <w:r w:rsidRPr="009F56B4">
        <w:rPr>
          <w:rFonts w:ascii="Times New Roman" w:eastAsia="Times New Roman" w:hAnsi="Times New Roman" w:cs="Times New Roman"/>
          <w:sz w:val="24"/>
          <w:szCs w:val="24"/>
        </w:rPr>
        <w:t>godini</w:t>
      </w:r>
      <w:proofErr w:type="gramEnd"/>
      <w:r w:rsidRPr="009F56B4">
        <w:rPr>
          <w:rFonts w:ascii="Times New Roman" w:eastAsia="Times New Roman" w:hAnsi="Times New Roman" w:cs="Times New Roman"/>
          <w:sz w:val="24"/>
          <w:szCs w:val="24"/>
        </w:rPr>
        <w:t xml:space="preserv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Podaci o porastu broja korisnika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naknadu za novorođeno dijete i korisnika refundacije naknade zarade za porodiljsko, odnosno roditeljsko odsustvo, u poređenju sa 2017. </w:t>
      </w:r>
      <w:proofErr w:type="gramStart"/>
      <w:r w:rsidRPr="009F56B4">
        <w:rPr>
          <w:rFonts w:ascii="Times New Roman" w:eastAsia="Times New Roman" w:hAnsi="Times New Roman" w:cs="Times New Roman"/>
          <w:sz w:val="24"/>
          <w:szCs w:val="24"/>
        </w:rPr>
        <w:t>godinom</w:t>
      </w:r>
      <w:proofErr w:type="gramEnd"/>
      <w:r w:rsidRPr="009F56B4">
        <w:rPr>
          <w:rFonts w:ascii="Times New Roman" w:eastAsia="Times New Roman" w:hAnsi="Times New Roman" w:cs="Times New Roman"/>
          <w:sz w:val="24"/>
          <w:szCs w:val="24"/>
        </w:rPr>
        <w:t xml:space="preserve">, mogli bi da upućuju na povećanje nataliteta u posmatranom periodu, kao i na prevalenciju zaposlenih porodilja u strukturi porodilja. </w:t>
      </w:r>
      <w:proofErr w:type="gramStart"/>
      <w:r w:rsidRPr="009F56B4">
        <w:rPr>
          <w:rFonts w:ascii="Times New Roman" w:eastAsia="Times New Roman" w:hAnsi="Times New Roman" w:cs="Times New Roman"/>
          <w:sz w:val="24"/>
          <w:szCs w:val="24"/>
        </w:rPr>
        <w:t>Ponuđeno tumačenje treba shvatiti kao krajnje hipotetično i vrlo uslovno, jer raspoloživi podaci nijesu dovoljni za pouzdanije zaključivanje.</w:t>
      </w:r>
      <w:proofErr w:type="gramEnd"/>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U daljem izlaganju detaljnije ćemo izložiti podatke o ostvarivanju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djecu, s obzirom da korisnici ovog prava imaju najveći udio u strukturi korisnika prava iz dječje zaštite, odnosno čine gotovo polovinu korisnika u cjelokupnom uzorku korisnika prava iz dječje zaštite.</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u w:val="single"/>
        </w:rPr>
      </w:pPr>
      <w:r w:rsidRPr="009F56B4">
        <w:rPr>
          <w:rFonts w:ascii="Times New Roman" w:eastAsia="Times New Roman" w:hAnsi="Times New Roman" w:cs="Times New Roman"/>
          <w:sz w:val="24"/>
          <w:szCs w:val="24"/>
          <w:u w:val="single"/>
        </w:rPr>
        <w:t xml:space="preserve">Dodatak za djecu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Zakonom o socijalnoj i dječjoj zaštiti propisano je da </w:t>
      </w:r>
      <w:r w:rsidRPr="009F56B4">
        <w:rPr>
          <w:rFonts w:ascii="Times New Roman" w:eastAsia="Times New Roman" w:hAnsi="Times New Roman" w:cs="Times New Roman"/>
          <w:b/>
          <w:sz w:val="24"/>
          <w:szCs w:val="24"/>
        </w:rPr>
        <w:t>pravo na dodatak za djecu može ostvariti dijete:</w:t>
      </w:r>
      <w:r w:rsidRPr="009F56B4">
        <w:rPr>
          <w:rFonts w:ascii="Times New Roman" w:eastAsia="Times New Roman" w:hAnsi="Times New Roman" w:cs="Times New Roman"/>
          <w:sz w:val="24"/>
          <w:szCs w:val="24"/>
        </w:rPr>
        <w:t xml:space="preserve"> 1) korisnik materijalnog obezbjeđenja; 2) korisnik dodatka za njegu i pomoć; 3) korisnik lične invalidnine; 4) bez roditeljskog staranja; 5) čiji je roditelj, usvojilac, staralac, hranitelj, odnosno lice kome je dijete povjereno na njegu, vaspitanje i obrazovanje kao korisnik materijalnog obezbjeđenja zasnovao radni odnos na osnovu sporazuma o aktivnom prevazilaženju nepovoljne socijalne situacije. 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djecu imaju troje djece u porodici korisnika materijalnog obezbjeđenja, a izuzetno ovo pravo se obezbjeđuje i djeci koja su rođena kao dvojke, trojke i sl. nezavisno od broja djece.</w:t>
      </w:r>
      <w:r w:rsidRPr="009F56B4">
        <w:rPr>
          <w:rFonts w:ascii="Times New Roman" w:eastAsia="Times New Roman" w:hAnsi="Times New Roman" w:cs="Times New Roman"/>
          <w:b/>
          <w:sz w:val="24"/>
          <w:szCs w:val="24"/>
        </w:rPr>
        <w:t xml:space="preserve"> Nosilac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djecu je roditelj, usvojioc, staraoc ili hranitelj.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djecu ostvaruje se do navršene 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života, ako je dijete na redovnom školovanju. </w:t>
      </w:r>
      <w:proofErr w:type="gramStart"/>
      <w:r w:rsidRPr="009F56B4">
        <w:rPr>
          <w:rFonts w:ascii="Times New Roman" w:eastAsia="Times New Roman" w:hAnsi="Times New Roman" w:cs="Times New Roman"/>
          <w:sz w:val="24"/>
          <w:szCs w:val="24"/>
        </w:rPr>
        <w:t>Izuzetno pravo može ostvariti i dijete poslije navršene 18.</w:t>
      </w:r>
      <w:proofErr w:type="gramEnd"/>
      <w:r w:rsidRPr="009F56B4">
        <w:rPr>
          <w:rFonts w:ascii="Times New Roman" w:eastAsia="Times New Roman" w:hAnsi="Times New Roman" w:cs="Times New Roman"/>
          <w:sz w:val="24"/>
          <w:szCs w:val="24"/>
        </w:rPr>
        <w:t xml:space="preserve">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života ukoliko je na redovnom školovanju u srednjoj školi, do kraja roka propisanog za to školovanje. Takođe, pravo na dodatak za djecu ostvaruje dijete korisnik materijalnog obezbjeđenja i dijete bez roditeljskog staranja, od navršene 15 do navršene 18 godine života, koje nije na redovnom školovanju ako je na evidenciji Zavoda za zapošljavanje. Dijete čiji je roditelj </w:t>
      </w:r>
      <w:proofErr w:type="gramStart"/>
      <w:r w:rsidRPr="009F56B4">
        <w:rPr>
          <w:rFonts w:ascii="Times New Roman" w:eastAsia="Times New Roman" w:hAnsi="Times New Roman" w:cs="Times New Roman"/>
          <w:sz w:val="24"/>
          <w:szCs w:val="24"/>
        </w:rPr>
        <w:t>ili</w:t>
      </w:r>
      <w:proofErr w:type="gramEnd"/>
      <w:r w:rsidRPr="009F56B4">
        <w:rPr>
          <w:rFonts w:ascii="Times New Roman" w:eastAsia="Times New Roman" w:hAnsi="Times New Roman" w:cs="Times New Roman"/>
          <w:sz w:val="24"/>
          <w:szCs w:val="24"/>
        </w:rPr>
        <w:t xml:space="preserve"> staraoc kao korisnik materijalnog obezbjeđena zasnovao radni odnos na osnovu sporazuma o aktivnom prevazilaženju nepovoljne socijalne situacije, ostvaruje pravo na dodatak za djecu najduže 9 mjeseci od dana zasnivanja radnog odnosa roditelja ili staraoca, ako ispunjava uslove propisane.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b/>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b/>
          <w:sz w:val="24"/>
          <w:szCs w:val="24"/>
        </w:rPr>
        <w:t>Visina dodatka za djecu iznosi mjesečno za dijete</w:t>
      </w:r>
      <w:r w:rsidRPr="009F56B4">
        <w:rPr>
          <w:rFonts w:ascii="Times New Roman" w:eastAsia="Times New Roman" w:hAnsi="Times New Roman" w:cs="Times New Roman"/>
          <w:sz w:val="24"/>
          <w:szCs w:val="24"/>
        </w:rPr>
        <w:t>:</w:t>
      </w:r>
    </w:p>
    <w:p w:rsidR="007E63B6" w:rsidRPr="009F56B4" w:rsidRDefault="007E63B6" w:rsidP="007E63B6">
      <w:pPr>
        <w:numPr>
          <w:ilvl w:val="0"/>
          <w:numId w:val="3"/>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korisnika materijalnog obezbjeđenja 24,31 eura;</w:t>
      </w:r>
    </w:p>
    <w:p w:rsidR="007E63B6" w:rsidRPr="009F56B4" w:rsidRDefault="007E63B6" w:rsidP="007E63B6">
      <w:pPr>
        <w:numPr>
          <w:ilvl w:val="0"/>
          <w:numId w:val="3"/>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čiji je roditelj, usvojilac, staralac, hranitelj, kao korisnik materijalnog obezbjeđenja zasnovao radni odnos na osnovu sporazuma o aktivnom prevazilaženju nepovoljne socijalne situacije 24,31 eura;</w:t>
      </w:r>
    </w:p>
    <w:p w:rsidR="007E63B6" w:rsidRPr="009F56B4" w:rsidRDefault="007E63B6" w:rsidP="007E63B6">
      <w:pPr>
        <w:numPr>
          <w:ilvl w:val="0"/>
          <w:numId w:val="3"/>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korisnika dodatka za njegu i pomoć 32,73%;</w:t>
      </w:r>
    </w:p>
    <w:p w:rsidR="007E63B6" w:rsidRPr="009F56B4" w:rsidRDefault="007E63B6" w:rsidP="007E63B6">
      <w:pPr>
        <w:numPr>
          <w:ilvl w:val="0"/>
          <w:numId w:val="3"/>
        </w:numPr>
        <w:shd w:val="clear" w:color="auto" w:fill="FFFFFF"/>
        <w:spacing w:after="0" w:line="240" w:lineRule="auto"/>
        <w:contextualSpacing/>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korisnika lične invalidnine 40,62%;</w:t>
      </w:r>
    </w:p>
    <w:p w:rsidR="007E63B6" w:rsidRPr="009F56B4" w:rsidRDefault="007E63B6" w:rsidP="007E63B6">
      <w:pPr>
        <w:numPr>
          <w:ilvl w:val="0"/>
          <w:numId w:val="3"/>
        </w:numPr>
        <w:shd w:val="clear" w:color="auto" w:fill="FFFFFF"/>
        <w:spacing w:after="0" w:line="240" w:lineRule="auto"/>
        <w:contextualSpacing/>
        <w:jc w:val="both"/>
        <w:rPr>
          <w:rFonts w:ascii="Times New Roman" w:eastAsia="Times New Roman" w:hAnsi="Times New Roman" w:cs="Times New Roman"/>
          <w:sz w:val="24"/>
          <w:szCs w:val="24"/>
        </w:rPr>
      </w:pPr>
      <w:proofErr w:type="gramStart"/>
      <w:r w:rsidRPr="009F56B4">
        <w:rPr>
          <w:rFonts w:ascii="Times New Roman" w:eastAsia="Times New Roman" w:hAnsi="Times New Roman" w:cs="Times New Roman"/>
          <w:sz w:val="24"/>
          <w:szCs w:val="24"/>
        </w:rPr>
        <w:t>bez</w:t>
      </w:r>
      <w:proofErr w:type="gramEnd"/>
      <w:r w:rsidRPr="009F56B4">
        <w:rPr>
          <w:rFonts w:ascii="Times New Roman" w:eastAsia="Times New Roman" w:hAnsi="Times New Roman" w:cs="Times New Roman"/>
          <w:sz w:val="24"/>
          <w:szCs w:val="24"/>
        </w:rPr>
        <w:t xml:space="preserve"> roditeljskog staranja 40,62%.</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U tabeli broj </w:t>
      </w:r>
      <w:r>
        <w:rPr>
          <w:rFonts w:ascii="Times New Roman" w:eastAsia="Times New Roman" w:hAnsi="Times New Roman" w:cs="Times New Roman"/>
          <w:sz w:val="24"/>
          <w:szCs w:val="24"/>
        </w:rPr>
        <w:t>8</w:t>
      </w:r>
      <w:r w:rsidRPr="009F56B4">
        <w:rPr>
          <w:rFonts w:ascii="Times New Roman" w:eastAsia="Times New Roman" w:hAnsi="Times New Roman" w:cs="Times New Roman"/>
          <w:sz w:val="24"/>
          <w:szCs w:val="24"/>
        </w:rPr>
        <w:t xml:space="preserve"> prikazana je zastupljenost djece obuhvaćene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djecu na dan 31.12.2018.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prema osnovu za ostvarivanje prava, pri čemu ove podatke treba shvatiti više kao ilustraciju nego kao egzaktno utvrđene činjenice zbog nedovoljne dosljednosti i pouzdanosti  podataka koje su dostavili centri za socijalni rad u statističkim izvještajima.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Tabela br. 8</w:t>
      </w:r>
      <w:r w:rsidRPr="009F56B4">
        <w:rPr>
          <w:rFonts w:ascii="Times New Roman" w:eastAsia="Times New Roman" w:hAnsi="Times New Roman" w:cs="Times New Roman"/>
          <w:b/>
          <w:i/>
          <w:sz w:val="24"/>
          <w:szCs w:val="24"/>
        </w:rPr>
        <w:t xml:space="preserve">: Zastupljenost djece obuhvaćene pravom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dodatak za djecu na dan 31.12.2018. </w:t>
      </w:r>
      <w:proofErr w:type="gramStart"/>
      <w:r w:rsidRPr="009F56B4">
        <w:rPr>
          <w:rFonts w:ascii="Times New Roman" w:eastAsia="Times New Roman" w:hAnsi="Times New Roman" w:cs="Times New Roman"/>
          <w:b/>
          <w:i/>
          <w:sz w:val="24"/>
          <w:szCs w:val="24"/>
        </w:rPr>
        <w:t>godine</w:t>
      </w:r>
      <w:proofErr w:type="gramEnd"/>
      <w:r w:rsidRPr="009F56B4">
        <w:rPr>
          <w:rFonts w:ascii="Times New Roman" w:eastAsia="Times New Roman" w:hAnsi="Times New Roman" w:cs="Times New Roman"/>
          <w:b/>
          <w:i/>
          <w:sz w:val="24"/>
          <w:szCs w:val="24"/>
        </w:rPr>
        <w:t xml:space="preserve"> prema osnovu za ostvarivanje prava</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tbl>
      <w:tblPr>
        <w:tblW w:w="4080" w:type="dxa"/>
        <w:tblInd w:w="93" w:type="dxa"/>
        <w:tblLook w:val="04A0" w:firstRow="1" w:lastRow="0" w:firstColumn="1" w:lastColumn="0" w:noHBand="0" w:noVBand="1"/>
      </w:tblPr>
      <w:tblGrid>
        <w:gridCol w:w="2040"/>
        <w:gridCol w:w="2040"/>
      </w:tblGrid>
      <w:tr w:rsidR="007E63B6" w:rsidRPr="009F56B4" w:rsidTr="00D904E7">
        <w:trPr>
          <w:trHeight w:val="570"/>
        </w:trPr>
        <w:tc>
          <w:tcPr>
            <w:tcW w:w="20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E63B6" w:rsidRPr="009F56B4" w:rsidRDefault="007E63B6" w:rsidP="00D904E7">
            <w:pPr>
              <w:spacing w:after="0" w:line="240" w:lineRule="auto"/>
              <w:jc w:val="center"/>
              <w:rPr>
                <w:rFonts w:ascii="Cambria" w:eastAsia="Times New Roman" w:hAnsi="Cambria" w:cs="Times New Roman"/>
                <w:color w:val="000000"/>
              </w:rPr>
            </w:pPr>
            <w:r w:rsidRPr="009F56B4">
              <w:rPr>
                <w:rFonts w:ascii="Cambria" w:eastAsia="Times New Roman" w:hAnsi="Cambria" w:cs="Times New Roman"/>
                <w:color w:val="000000"/>
              </w:rPr>
              <w:t>Pravo na DD po kategorijama</w:t>
            </w:r>
          </w:p>
        </w:tc>
        <w:tc>
          <w:tcPr>
            <w:tcW w:w="2040" w:type="dxa"/>
            <w:tcBorders>
              <w:top w:val="single" w:sz="4" w:space="0" w:color="auto"/>
              <w:left w:val="nil"/>
              <w:bottom w:val="single" w:sz="4" w:space="0" w:color="auto"/>
              <w:right w:val="single" w:sz="4" w:space="0" w:color="auto"/>
            </w:tcBorders>
            <w:shd w:val="clear" w:color="000000" w:fill="C5D9F1"/>
            <w:noWrap/>
            <w:vAlign w:val="center"/>
            <w:hideMark/>
          </w:tcPr>
          <w:p w:rsidR="007E63B6" w:rsidRPr="009F56B4" w:rsidRDefault="007E63B6" w:rsidP="00D904E7">
            <w:pPr>
              <w:spacing w:after="0" w:line="240" w:lineRule="auto"/>
              <w:jc w:val="center"/>
              <w:rPr>
                <w:rFonts w:ascii="Cambria" w:eastAsia="Times New Roman" w:hAnsi="Cambria" w:cs="Times New Roman"/>
                <w:color w:val="000000"/>
              </w:rPr>
            </w:pPr>
            <w:r w:rsidRPr="009F56B4">
              <w:rPr>
                <w:rFonts w:ascii="Cambria" w:eastAsia="Times New Roman" w:hAnsi="Cambria" w:cs="Times New Roman"/>
                <w:color w:val="000000"/>
              </w:rPr>
              <w:t>Procenat djece</w:t>
            </w:r>
          </w:p>
        </w:tc>
      </w:tr>
      <w:tr w:rsidR="007E63B6" w:rsidRPr="009F56B4" w:rsidTr="00D904E7">
        <w:trPr>
          <w:trHeight w:val="300"/>
        </w:trPr>
        <w:tc>
          <w:tcPr>
            <w:tcW w:w="2040" w:type="dxa"/>
            <w:tcBorders>
              <w:top w:val="nil"/>
              <w:left w:val="single" w:sz="4" w:space="0" w:color="auto"/>
              <w:bottom w:val="single" w:sz="4" w:space="0" w:color="auto"/>
              <w:right w:val="single" w:sz="4" w:space="0" w:color="auto"/>
            </w:tcBorders>
            <w:shd w:val="clear" w:color="000000" w:fill="DCE6F1"/>
            <w:noWrap/>
            <w:vAlign w:val="center"/>
            <w:hideMark/>
          </w:tcPr>
          <w:p w:rsidR="007E63B6" w:rsidRPr="009F56B4" w:rsidRDefault="007E63B6" w:rsidP="00D904E7">
            <w:pPr>
              <w:spacing w:after="0" w:line="240" w:lineRule="auto"/>
              <w:jc w:val="center"/>
              <w:rPr>
                <w:rFonts w:ascii="Cambria" w:eastAsia="Times New Roman" w:hAnsi="Cambria" w:cs="Times New Roman"/>
                <w:color w:val="000000"/>
              </w:rPr>
            </w:pPr>
            <w:r w:rsidRPr="009F56B4">
              <w:rPr>
                <w:rFonts w:ascii="Cambria" w:eastAsia="Times New Roman" w:hAnsi="Cambria" w:cs="Times New Roman"/>
                <w:color w:val="000000"/>
              </w:rPr>
              <w:t>Korisnici MO</w:t>
            </w:r>
          </w:p>
        </w:tc>
        <w:tc>
          <w:tcPr>
            <w:tcW w:w="204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Cambria" w:eastAsia="Times New Roman" w:hAnsi="Cambria" w:cs="Times New Roman"/>
                <w:color w:val="000000"/>
              </w:rPr>
            </w:pPr>
            <w:r w:rsidRPr="009F56B4">
              <w:rPr>
                <w:rFonts w:ascii="Cambria" w:eastAsia="Times New Roman" w:hAnsi="Cambria" w:cs="Times New Roman"/>
                <w:color w:val="000000"/>
              </w:rPr>
              <w:t>89.50%</w:t>
            </w:r>
          </w:p>
        </w:tc>
      </w:tr>
      <w:tr w:rsidR="007E63B6" w:rsidRPr="009F56B4" w:rsidTr="00D904E7">
        <w:trPr>
          <w:trHeight w:val="315"/>
        </w:trPr>
        <w:tc>
          <w:tcPr>
            <w:tcW w:w="2040" w:type="dxa"/>
            <w:tcBorders>
              <w:top w:val="nil"/>
              <w:left w:val="single" w:sz="4" w:space="0" w:color="auto"/>
              <w:bottom w:val="single" w:sz="4" w:space="0" w:color="auto"/>
              <w:right w:val="single" w:sz="4" w:space="0" w:color="auto"/>
            </w:tcBorders>
            <w:shd w:val="clear" w:color="000000" w:fill="DCE6F1"/>
            <w:noWrap/>
            <w:vAlign w:val="center"/>
            <w:hideMark/>
          </w:tcPr>
          <w:p w:rsidR="007E63B6" w:rsidRPr="009F56B4" w:rsidRDefault="007E63B6" w:rsidP="00D904E7">
            <w:pPr>
              <w:spacing w:after="0" w:line="240" w:lineRule="auto"/>
              <w:jc w:val="center"/>
              <w:rPr>
                <w:rFonts w:ascii="Cambria" w:eastAsia="Times New Roman" w:hAnsi="Cambria" w:cs="Times New Roman"/>
                <w:color w:val="000000"/>
              </w:rPr>
            </w:pPr>
            <w:r w:rsidRPr="009F56B4">
              <w:rPr>
                <w:rFonts w:ascii="Cambria" w:eastAsia="Times New Roman" w:hAnsi="Cambria" w:cs="Times New Roman"/>
                <w:color w:val="000000"/>
              </w:rPr>
              <w:t>Korisnici DNJP</w:t>
            </w:r>
          </w:p>
        </w:tc>
        <w:tc>
          <w:tcPr>
            <w:tcW w:w="204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Cambria" w:eastAsia="Times New Roman" w:hAnsi="Cambria" w:cs="Times New Roman"/>
                <w:color w:val="000000"/>
              </w:rPr>
            </w:pPr>
            <w:r w:rsidRPr="009F56B4">
              <w:rPr>
                <w:rFonts w:ascii="Cambria" w:eastAsia="Times New Roman" w:hAnsi="Cambria" w:cs="Times New Roman"/>
                <w:color w:val="000000"/>
              </w:rPr>
              <w:t>3.78%</w:t>
            </w:r>
          </w:p>
        </w:tc>
      </w:tr>
      <w:tr w:rsidR="007E63B6" w:rsidRPr="009F56B4" w:rsidTr="00D904E7">
        <w:trPr>
          <w:trHeight w:val="315"/>
        </w:trPr>
        <w:tc>
          <w:tcPr>
            <w:tcW w:w="2040" w:type="dxa"/>
            <w:tcBorders>
              <w:top w:val="nil"/>
              <w:left w:val="single" w:sz="4" w:space="0" w:color="auto"/>
              <w:bottom w:val="single" w:sz="4" w:space="0" w:color="auto"/>
              <w:right w:val="single" w:sz="4" w:space="0" w:color="auto"/>
            </w:tcBorders>
            <w:shd w:val="clear" w:color="000000" w:fill="DCE6F1"/>
            <w:noWrap/>
            <w:vAlign w:val="center"/>
            <w:hideMark/>
          </w:tcPr>
          <w:p w:rsidR="007E63B6" w:rsidRPr="009F56B4" w:rsidRDefault="007E63B6" w:rsidP="00D904E7">
            <w:pPr>
              <w:spacing w:after="0" w:line="240" w:lineRule="auto"/>
              <w:jc w:val="center"/>
              <w:rPr>
                <w:rFonts w:ascii="Cambria" w:eastAsia="Times New Roman" w:hAnsi="Cambria" w:cs="Times New Roman"/>
                <w:color w:val="000000"/>
              </w:rPr>
            </w:pPr>
            <w:r w:rsidRPr="009F56B4">
              <w:rPr>
                <w:rFonts w:ascii="Cambria" w:eastAsia="Times New Roman" w:hAnsi="Cambria" w:cs="Times New Roman"/>
                <w:color w:val="000000"/>
              </w:rPr>
              <w:t>Korisnici LI</w:t>
            </w:r>
          </w:p>
        </w:tc>
        <w:tc>
          <w:tcPr>
            <w:tcW w:w="204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Cambria" w:eastAsia="Times New Roman" w:hAnsi="Cambria" w:cs="Times New Roman"/>
                <w:color w:val="000000"/>
              </w:rPr>
            </w:pPr>
            <w:r w:rsidRPr="009F56B4">
              <w:rPr>
                <w:rFonts w:ascii="Cambria" w:eastAsia="Times New Roman" w:hAnsi="Cambria" w:cs="Times New Roman"/>
                <w:color w:val="000000"/>
              </w:rPr>
              <w:t>4.09%</w:t>
            </w:r>
          </w:p>
        </w:tc>
      </w:tr>
      <w:tr w:rsidR="007E63B6" w:rsidRPr="009F56B4" w:rsidTr="00D904E7">
        <w:trPr>
          <w:trHeight w:val="315"/>
        </w:trPr>
        <w:tc>
          <w:tcPr>
            <w:tcW w:w="2040" w:type="dxa"/>
            <w:tcBorders>
              <w:top w:val="nil"/>
              <w:left w:val="single" w:sz="4" w:space="0" w:color="auto"/>
              <w:bottom w:val="single" w:sz="4" w:space="0" w:color="auto"/>
              <w:right w:val="single" w:sz="4" w:space="0" w:color="auto"/>
            </w:tcBorders>
            <w:shd w:val="clear" w:color="000000" w:fill="DCE6F1"/>
            <w:noWrap/>
            <w:vAlign w:val="center"/>
            <w:hideMark/>
          </w:tcPr>
          <w:p w:rsidR="007E63B6" w:rsidRPr="009F56B4" w:rsidRDefault="007E63B6" w:rsidP="00D904E7">
            <w:pPr>
              <w:spacing w:after="0" w:line="240" w:lineRule="auto"/>
              <w:jc w:val="center"/>
              <w:rPr>
                <w:rFonts w:ascii="Cambria" w:eastAsia="Times New Roman" w:hAnsi="Cambria" w:cs="Times New Roman"/>
                <w:color w:val="000000"/>
              </w:rPr>
            </w:pPr>
            <w:r w:rsidRPr="009F56B4">
              <w:rPr>
                <w:rFonts w:ascii="Cambria" w:eastAsia="Times New Roman" w:hAnsi="Cambria" w:cs="Times New Roman"/>
                <w:color w:val="000000"/>
              </w:rPr>
              <w:t>Korisnici PSH</w:t>
            </w:r>
          </w:p>
        </w:tc>
        <w:tc>
          <w:tcPr>
            <w:tcW w:w="204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Cambria" w:eastAsia="Times New Roman" w:hAnsi="Cambria" w:cs="Times New Roman"/>
                <w:color w:val="000000"/>
              </w:rPr>
            </w:pPr>
            <w:r w:rsidRPr="009F56B4">
              <w:rPr>
                <w:rFonts w:ascii="Cambria" w:eastAsia="Times New Roman" w:hAnsi="Cambria" w:cs="Times New Roman"/>
                <w:color w:val="000000"/>
              </w:rPr>
              <w:t>0.33%</w:t>
            </w:r>
          </w:p>
        </w:tc>
      </w:tr>
      <w:tr w:rsidR="007E63B6" w:rsidRPr="009F56B4" w:rsidTr="00D904E7">
        <w:trPr>
          <w:trHeight w:val="570"/>
        </w:trPr>
        <w:tc>
          <w:tcPr>
            <w:tcW w:w="2040" w:type="dxa"/>
            <w:tcBorders>
              <w:top w:val="nil"/>
              <w:left w:val="single" w:sz="4" w:space="0" w:color="auto"/>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Cambria" w:eastAsia="Times New Roman" w:hAnsi="Cambria" w:cs="Times New Roman"/>
                <w:color w:val="000000"/>
              </w:rPr>
            </w:pPr>
            <w:r w:rsidRPr="009F56B4">
              <w:rPr>
                <w:rFonts w:ascii="Cambria" w:eastAsia="Times New Roman" w:hAnsi="Cambria" w:cs="Times New Roman"/>
                <w:color w:val="000000"/>
              </w:rPr>
              <w:t>Korisnici u institucijama</w:t>
            </w:r>
          </w:p>
        </w:tc>
        <w:tc>
          <w:tcPr>
            <w:tcW w:w="204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Cambria" w:eastAsia="Times New Roman" w:hAnsi="Cambria" w:cs="Times New Roman"/>
                <w:color w:val="000000"/>
              </w:rPr>
            </w:pPr>
            <w:r w:rsidRPr="009F56B4">
              <w:rPr>
                <w:rFonts w:ascii="Cambria" w:eastAsia="Times New Roman" w:hAnsi="Cambria" w:cs="Times New Roman"/>
                <w:color w:val="000000"/>
              </w:rPr>
              <w:t>2.02%</w:t>
            </w:r>
          </w:p>
        </w:tc>
      </w:tr>
      <w:tr w:rsidR="007E63B6" w:rsidRPr="009F56B4" w:rsidTr="00D904E7">
        <w:trPr>
          <w:trHeight w:val="855"/>
        </w:trPr>
        <w:tc>
          <w:tcPr>
            <w:tcW w:w="2040" w:type="dxa"/>
            <w:tcBorders>
              <w:top w:val="nil"/>
              <w:left w:val="single" w:sz="4" w:space="0" w:color="auto"/>
              <w:bottom w:val="single" w:sz="4" w:space="0" w:color="auto"/>
              <w:right w:val="single" w:sz="4" w:space="0" w:color="auto"/>
            </w:tcBorders>
            <w:shd w:val="clear" w:color="000000" w:fill="DCE6F1"/>
            <w:vAlign w:val="center"/>
            <w:hideMark/>
          </w:tcPr>
          <w:p w:rsidR="007E63B6" w:rsidRPr="009F56B4" w:rsidRDefault="007E63B6" w:rsidP="00D904E7">
            <w:pPr>
              <w:spacing w:after="0" w:line="240" w:lineRule="auto"/>
              <w:jc w:val="center"/>
              <w:rPr>
                <w:rFonts w:ascii="Cambria" w:eastAsia="Times New Roman" w:hAnsi="Cambria" w:cs="Times New Roman"/>
                <w:color w:val="000000"/>
              </w:rPr>
            </w:pPr>
            <w:r w:rsidRPr="009F56B4">
              <w:rPr>
                <w:rFonts w:ascii="Cambria" w:eastAsia="Times New Roman" w:hAnsi="Cambria" w:cs="Times New Roman"/>
                <w:color w:val="000000"/>
              </w:rPr>
              <w:t>Korisnici prema individualnom planu aktivacije</w:t>
            </w:r>
          </w:p>
        </w:tc>
        <w:tc>
          <w:tcPr>
            <w:tcW w:w="204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Cambria" w:eastAsia="Times New Roman" w:hAnsi="Cambria" w:cs="Times New Roman"/>
                <w:color w:val="000000"/>
              </w:rPr>
            </w:pPr>
            <w:r w:rsidRPr="009F56B4">
              <w:rPr>
                <w:rFonts w:ascii="Cambria" w:eastAsia="Times New Roman" w:hAnsi="Cambria" w:cs="Times New Roman"/>
                <w:color w:val="000000"/>
              </w:rPr>
              <w:t>0.28%</w:t>
            </w:r>
          </w:p>
        </w:tc>
      </w:tr>
      <w:tr w:rsidR="007E63B6" w:rsidRPr="009F56B4" w:rsidTr="00D904E7">
        <w:trPr>
          <w:trHeight w:val="315"/>
        </w:trPr>
        <w:tc>
          <w:tcPr>
            <w:tcW w:w="2040" w:type="dxa"/>
            <w:tcBorders>
              <w:top w:val="nil"/>
              <w:left w:val="single" w:sz="4" w:space="0" w:color="auto"/>
              <w:bottom w:val="single" w:sz="4" w:space="0" w:color="auto"/>
              <w:right w:val="single" w:sz="4" w:space="0" w:color="auto"/>
            </w:tcBorders>
            <w:shd w:val="clear" w:color="000000" w:fill="C5D9F1"/>
            <w:noWrap/>
            <w:vAlign w:val="center"/>
            <w:hideMark/>
          </w:tcPr>
          <w:p w:rsidR="007E63B6" w:rsidRPr="009F56B4" w:rsidRDefault="007E63B6" w:rsidP="00D904E7">
            <w:pPr>
              <w:spacing w:after="0" w:line="240" w:lineRule="auto"/>
              <w:jc w:val="center"/>
              <w:rPr>
                <w:rFonts w:ascii="Cambria" w:eastAsia="Times New Roman" w:hAnsi="Cambria" w:cs="Times New Roman"/>
                <w:color w:val="000000"/>
              </w:rPr>
            </w:pPr>
            <w:r w:rsidRPr="009F56B4">
              <w:rPr>
                <w:rFonts w:ascii="Cambria" w:eastAsia="Times New Roman" w:hAnsi="Cambria" w:cs="Times New Roman"/>
                <w:color w:val="000000"/>
              </w:rPr>
              <w:t>Ukupno</w:t>
            </w:r>
          </w:p>
        </w:tc>
        <w:tc>
          <w:tcPr>
            <w:tcW w:w="2040" w:type="dxa"/>
            <w:tcBorders>
              <w:top w:val="nil"/>
              <w:left w:val="nil"/>
              <w:bottom w:val="single" w:sz="4" w:space="0" w:color="auto"/>
              <w:right w:val="single" w:sz="4" w:space="0" w:color="auto"/>
            </w:tcBorders>
            <w:shd w:val="clear" w:color="auto" w:fill="auto"/>
            <w:noWrap/>
            <w:vAlign w:val="bottom"/>
            <w:hideMark/>
          </w:tcPr>
          <w:p w:rsidR="007E63B6" w:rsidRPr="009F56B4" w:rsidRDefault="007E63B6" w:rsidP="00D904E7">
            <w:pPr>
              <w:spacing w:after="0" w:line="240" w:lineRule="auto"/>
              <w:jc w:val="right"/>
              <w:rPr>
                <w:rFonts w:ascii="Cambria" w:eastAsia="Times New Roman" w:hAnsi="Cambria" w:cs="Times New Roman"/>
                <w:color w:val="000000"/>
              </w:rPr>
            </w:pPr>
            <w:r w:rsidRPr="009F56B4">
              <w:rPr>
                <w:rFonts w:ascii="Cambria" w:eastAsia="Times New Roman" w:hAnsi="Cambria" w:cs="Times New Roman"/>
                <w:color w:val="000000"/>
              </w:rPr>
              <w:t>100.00%</w:t>
            </w:r>
          </w:p>
        </w:tc>
      </w:tr>
    </w:tbl>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Iz tabele vidimo da u strukturi djece obuhvaćene pravom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dodatak za djecu na dan 31.12.2018.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dominiraju djeca koja ovo pravo ostvaruju po osnovu korišćenja prava na materijalno obezbjeđenje, zastupljena sa blizu 90%.  Djeca koja pravo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dječji dodatak ostvaruju po osnovu korišćenja prava na na ličnu invalidninu i prava na dodatak za njegu i pomoć su približno jednako zastupljena i obje ove grupe obuhvataju po približno 4% djece u posmatranom uzorku. Najmanje su zastupljena djeca čiji roditelj, usvojilac, staralac, hranitelj, je kao korisnik materijalnog obezbjeđenja zasnovao radni odnos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osnovu sporazuma o aktivnom prevazilaženju nepovoljne socijalne situacije.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sz w:val="24"/>
          <w:szCs w:val="24"/>
        </w:rPr>
        <w:t xml:space="preserve">U narednom grafikonu prikazano je kretanje broja nosilaca prava </w:t>
      </w:r>
      <w:proofErr w:type="gramStart"/>
      <w:r w:rsidRPr="009F56B4">
        <w:rPr>
          <w:rFonts w:ascii="Times New Roman" w:eastAsia="Times New Roman" w:hAnsi="Times New Roman" w:cs="Times New Roman"/>
          <w:sz w:val="24"/>
          <w:szCs w:val="24"/>
        </w:rPr>
        <w:t>na</w:t>
      </w:r>
      <w:proofErr w:type="gramEnd"/>
      <w:r w:rsidRPr="009F56B4">
        <w:rPr>
          <w:rFonts w:ascii="Times New Roman" w:eastAsia="Times New Roman" w:hAnsi="Times New Roman" w:cs="Times New Roman"/>
          <w:sz w:val="24"/>
          <w:szCs w:val="24"/>
        </w:rPr>
        <w:t xml:space="preserve"> dječji dodatak i broja djece obuhvaćene pravom tokom 2018. </w:t>
      </w:r>
      <w:proofErr w:type="gramStart"/>
      <w:r w:rsidRPr="009F56B4">
        <w:rPr>
          <w:rFonts w:ascii="Times New Roman" w:eastAsia="Times New Roman" w:hAnsi="Times New Roman" w:cs="Times New Roman"/>
          <w:sz w:val="24"/>
          <w:szCs w:val="24"/>
        </w:rPr>
        <w:t>godine</w:t>
      </w:r>
      <w:proofErr w:type="gramEnd"/>
      <w:r w:rsidRPr="009F56B4">
        <w:rPr>
          <w:rFonts w:ascii="Times New Roman" w:eastAsia="Times New Roman" w:hAnsi="Times New Roman" w:cs="Times New Roman"/>
          <w:sz w:val="24"/>
          <w:szCs w:val="24"/>
        </w:rPr>
        <w:t xml:space="preserve">, koristeći prosječne vrijednosti za svaki mjesec  izračunate u odnosu na ukupan broj korisnika na nivou Crne Gore po mjesecima i dijeljeno s brojem sjedišta centara za socijalni rad.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r w:rsidRPr="009F56B4">
        <w:rPr>
          <w:rFonts w:ascii="Times New Roman" w:eastAsia="Times New Roman" w:hAnsi="Times New Roman" w:cs="Times New Roman"/>
          <w:b/>
          <w:i/>
          <w:sz w:val="24"/>
          <w:szCs w:val="24"/>
        </w:rPr>
        <w:t xml:space="preserve">Grafikon br. 27: Kretanje broja nosilaca prava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dodatak za djecu i broja djece obuhvaćene pravom tokom 2018. </w:t>
      </w:r>
      <w:proofErr w:type="gramStart"/>
      <w:r w:rsidRPr="009F56B4">
        <w:rPr>
          <w:rFonts w:ascii="Times New Roman" w:eastAsia="Times New Roman" w:hAnsi="Times New Roman" w:cs="Times New Roman"/>
          <w:b/>
          <w:i/>
          <w:sz w:val="24"/>
          <w:szCs w:val="24"/>
        </w:rPr>
        <w:t>godine</w:t>
      </w:r>
      <w:proofErr w:type="gramEnd"/>
      <w:r w:rsidRPr="009F56B4">
        <w:rPr>
          <w:rFonts w:ascii="Times New Roman" w:eastAsia="Times New Roman" w:hAnsi="Times New Roman" w:cs="Times New Roman"/>
          <w:b/>
          <w:i/>
          <w:sz w:val="24"/>
          <w:szCs w:val="24"/>
        </w:rPr>
        <w:t xml:space="preserve">  </w:t>
      </w:r>
    </w:p>
    <w:p w:rsidR="007E63B6" w:rsidRPr="009F56B4" w:rsidRDefault="007E63B6" w:rsidP="007E63B6">
      <w:pPr>
        <w:shd w:val="clear" w:color="auto" w:fill="FFFFFF"/>
        <w:spacing w:after="0" w:line="240" w:lineRule="auto"/>
        <w:rPr>
          <w:rFonts w:ascii="Times New Roman" w:eastAsia="Times New Roman" w:hAnsi="Times New Roman" w:cs="Times New Roman"/>
          <w:sz w:val="24"/>
          <w:szCs w:val="24"/>
        </w:rPr>
      </w:pPr>
    </w:p>
    <w:p w:rsidR="007E63B6" w:rsidRPr="009F56B4" w:rsidRDefault="007E63B6" w:rsidP="007E63B6">
      <w:pPr>
        <w:jc w:val="both"/>
        <w:rPr>
          <w:rFonts w:ascii="Times New Roman" w:hAnsi="Times New Roman" w:cs="Times New Roman"/>
          <w:sz w:val="28"/>
          <w:szCs w:val="28"/>
        </w:rPr>
      </w:pPr>
      <w:r w:rsidRPr="009F56B4">
        <w:rPr>
          <w:noProof/>
        </w:rPr>
        <w:drawing>
          <wp:inline distT="0" distB="0" distL="0" distR="0" wp14:anchorId="239F7858" wp14:editId="37D89A2A">
            <wp:extent cx="4572000" cy="27432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63B6" w:rsidRPr="009F56B4" w:rsidRDefault="007E63B6" w:rsidP="007E63B6">
      <w:pPr>
        <w:jc w:val="both"/>
        <w:rPr>
          <w:rFonts w:ascii="Times New Roman" w:hAnsi="Times New Roman" w:cs="Times New Roman"/>
          <w:sz w:val="24"/>
          <w:szCs w:val="24"/>
        </w:rPr>
      </w:pPr>
      <w:r w:rsidRPr="009F56B4">
        <w:rPr>
          <w:rFonts w:ascii="Times New Roman" w:hAnsi="Times New Roman" w:cs="Times New Roman"/>
          <w:sz w:val="24"/>
          <w:szCs w:val="24"/>
        </w:rPr>
        <w:t xml:space="preserve">Iz grafikona se uočava da je prosječan broj nosilaca prava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dječji dodatak vrlo malo varirao tokom 2018.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krećući se u rasponu od 568 u januaru (minimum) do 596 u avgustu (maksimum). Varijacije prosječnog broja djece obuhvaćene pravom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dječji dodatak tokom 2018.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su nešto izraženije i kreću se u rasponu od 1112 u januaru do 1173 u avgustu.</w:t>
      </w:r>
    </w:p>
    <w:p w:rsidR="007E63B6" w:rsidRPr="009F56B4" w:rsidRDefault="007E63B6" w:rsidP="007E63B6">
      <w:pPr>
        <w:jc w:val="both"/>
        <w:rPr>
          <w:rFonts w:ascii="Times New Roman" w:hAnsi="Times New Roman" w:cs="Times New Roman"/>
          <w:sz w:val="24"/>
          <w:szCs w:val="24"/>
        </w:rPr>
      </w:pPr>
      <w:r w:rsidRPr="009F56B4">
        <w:rPr>
          <w:rFonts w:ascii="Times New Roman" w:hAnsi="Times New Roman" w:cs="Times New Roman"/>
          <w:sz w:val="24"/>
          <w:szCs w:val="24"/>
        </w:rPr>
        <w:t xml:space="preserve">U grafikonu koji slijedi prikazan je prosječan broj nosilaca prava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dječji dodatak i prosječan broj djece obuhvaćene pravom u 2018. </w:t>
      </w:r>
      <w:proofErr w:type="gramStart"/>
      <w:r w:rsidRPr="009F56B4">
        <w:rPr>
          <w:rFonts w:ascii="Times New Roman" w:hAnsi="Times New Roman" w:cs="Times New Roman"/>
          <w:sz w:val="24"/>
          <w:szCs w:val="24"/>
        </w:rPr>
        <w:t>godini</w:t>
      </w:r>
      <w:proofErr w:type="gramEnd"/>
      <w:r w:rsidRPr="009F56B4">
        <w:rPr>
          <w:rFonts w:ascii="Times New Roman" w:hAnsi="Times New Roman" w:cs="Times New Roman"/>
          <w:sz w:val="24"/>
          <w:szCs w:val="24"/>
        </w:rPr>
        <w:t xml:space="preserve"> po sjedištima centara za socijalni rad.       </w:t>
      </w:r>
    </w:p>
    <w:p w:rsidR="007E63B6" w:rsidRPr="009F56B4" w:rsidRDefault="007E63B6" w:rsidP="007E63B6">
      <w:pPr>
        <w:jc w:val="both"/>
        <w:rPr>
          <w:rFonts w:ascii="Times New Roman" w:hAnsi="Times New Roman" w:cs="Times New Roman"/>
          <w:sz w:val="24"/>
          <w:szCs w:val="24"/>
        </w:rPr>
      </w:pPr>
    </w:p>
    <w:p w:rsidR="007E63B6" w:rsidRPr="009F56B4" w:rsidRDefault="007E63B6" w:rsidP="007E63B6">
      <w:pPr>
        <w:jc w:val="both"/>
        <w:rPr>
          <w:rFonts w:ascii="Times New Roman" w:hAnsi="Times New Roman" w:cs="Times New Roman"/>
          <w:b/>
          <w:i/>
          <w:sz w:val="24"/>
          <w:szCs w:val="24"/>
        </w:rPr>
      </w:pPr>
    </w:p>
    <w:p w:rsidR="007E63B6" w:rsidRPr="009F56B4" w:rsidRDefault="007E63B6" w:rsidP="007E63B6">
      <w:pPr>
        <w:jc w:val="both"/>
        <w:rPr>
          <w:rFonts w:ascii="Times New Roman" w:hAnsi="Times New Roman" w:cs="Times New Roman"/>
          <w:b/>
          <w:i/>
          <w:sz w:val="24"/>
          <w:szCs w:val="24"/>
        </w:rPr>
      </w:pPr>
    </w:p>
    <w:p w:rsidR="007E63B6" w:rsidRPr="009F56B4" w:rsidRDefault="007E63B6" w:rsidP="007E63B6">
      <w:pPr>
        <w:jc w:val="both"/>
        <w:rPr>
          <w:rFonts w:ascii="Times New Roman" w:hAnsi="Times New Roman" w:cs="Times New Roman"/>
          <w:b/>
          <w:i/>
          <w:sz w:val="24"/>
          <w:szCs w:val="24"/>
        </w:rPr>
      </w:pPr>
    </w:p>
    <w:p w:rsidR="007E63B6" w:rsidRPr="009F56B4" w:rsidRDefault="007E63B6" w:rsidP="007E63B6">
      <w:pPr>
        <w:jc w:val="both"/>
        <w:rPr>
          <w:rFonts w:ascii="Times New Roman" w:hAnsi="Times New Roman" w:cs="Times New Roman"/>
          <w:b/>
          <w:i/>
          <w:sz w:val="24"/>
          <w:szCs w:val="24"/>
        </w:rPr>
      </w:pPr>
    </w:p>
    <w:p w:rsidR="007E63B6" w:rsidRPr="009F56B4" w:rsidRDefault="007E63B6" w:rsidP="007E63B6">
      <w:pPr>
        <w:jc w:val="both"/>
        <w:rPr>
          <w:rFonts w:ascii="Times New Roman" w:hAnsi="Times New Roman" w:cs="Times New Roman"/>
          <w:b/>
          <w:i/>
          <w:sz w:val="24"/>
          <w:szCs w:val="24"/>
        </w:rPr>
      </w:pPr>
    </w:p>
    <w:p w:rsidR="007E63B6" w:rsidRPr="009F56B4" w:rsidRDefault="007E63B6" w:rsidP="007E63B6">
      <w:pPr>
        <w:jc w:val="both"/>
        <w:rPr>
          <w:rFonts w:ascii="Times New Roman" w:hAnsi="Times New Roman" w:cs="Times New Roman"/>
          <w:b/>
          <w:i/>
          <w:sz w:val="24"/>
          <w:szCs w:val="24"/>
        </w:rPr>
      </w:pPr>
    </w:p>
    <w:p w:rsidR="007E63B6" w:rsidRPr="009F56B4" w:rsidRDefault="007E63B6" w:rsidP="007E63B6">
      <w:pPr>
        <w:jc w:val="both"/>
        <w:rPr>
          <w:rFonts w:ascii="Times New Roman" w:hAnsi="Times New Roman" w:cs="Times New Roman"/>
          <w:b/>
          <w:i/>
          <w:sz w:val="24"/>
          <w:szCs w:val="24"/>
        </w:rPr>
      </w:pPr>
    </w:p>
    <w:p w:rsidR="007E63B6" w:rsidRPr="009F56B4" w:rsidRDefault="007E63B6" w:rsidP="007E63B6">
      <w:pPr>
        <w:jc w:val="both"/>
        <w:rPr>
          <w:rFonts w:ascii="Times New Roman" w:hAnsi="Times New Roman" w:cs="Times New Roman"/>
          <w:b/>
          <w:i/>
          <w:sz w:val="24"/>
          <w:szCs w:val="24"/>
        </w:rPr>
      </w:pPr>
    </w:p>
    <w:p w:rsidR="007E63B6" w:rsidRPr="009F56B4" w:rsidRDefault="007E63B6" w:rsidP="007E63B6">
      <w:pPr>
        <w:jc w:val="both"/>
        <w:rPr>
          <w:rFonts w:ascii="Times New Roman" w:hAnsi="Times New Roman" w:cs="Times New Roman"/>
          <w:b/>
          <w:i/>
          <w:sz w:val="24"/>
          <w:szCs w:val="24"/>
        </w:rPr>
      </w:pPr>
    </w:p>
    <w:p w:rsidR="007E63B6" w:rsidRPr="009F56B4" w:rsidRDefault="007E63B6" w:rsidP="007E63B6">
      <w:pPr>
        <w:jc w:val="both"/>
        <w:rPr>
          <w:rFonts w:ascii="Times New Roman" w:hAnsi="Times New Roman" w:cs="Times New Roman"/>
          <w:b/>
          <w:i/>
          <w:sz w:val="24"/>
          <w:szCs w:val="24"/>
        </w:rPr>
      </w:pPr>
      <w:r>
        <w:rPr>
          <w:rFonts w:ascii="Times New Roman" w:hAnsi="Times New Roman" w:cs="Times New Roman"/>
          <w:b/>
          <w:i/>
          <w:sz w:val="24"/>
          <w:szCs w:val="24"/>
        </w:rPr>
        <w:lastRenderedPageBreak/>
        <w:t>Grafikon br. 14</w:t>
      </w:r>
      <w:r w:rsidRPr="009F56B4">
        <w:rPr>
          <w:rFonts w:ascii="Times New Roman" w:hAnsi="Times New Roman" w:cs="Times New Roman"/>
          <w:b/>
          <w:i/>
          <w:sz w:val="24"/>
          <w:szCs w:val="24"/>
        </w:rPr>
        <w:t xml:space="preserve">: Prosječan broj nosilaca prava </w:t>
      </w:r>
      <w:proofErr w:type="gramStart"/>
      <w:r w:rsidRPr="009F56B4">
        <w:rPr>
          <w:rFonts w:ascii="Times New Roman" w:hAnsi="Times New Roman" w:cs="Times New Roman"/>
          <w:b/>
          <w:i/>
          <w:sz w:val="24"/>
          <w:szCs w:val="24"/>
        </w:rPr>
        <w:t>na</w:t>
      </w:r>
      <w:proofErr w:type="gramEnd"/>
      <w:r w:rsidRPr="009F56B4">
        <w:rPr>
          <w:rFonts w:ascii="Times New Roman" w:hAnsi="Times New Roman" w:cs="Times New Roman"/>
          <w:b/>
          <w:i/>
          <w:sz w:val="24"/>
          <w:szCs w:val="24"/>
        </w:rPr>
        <w:t xml:space="preserve"> dodatak za djecu i prosječan broj djece obuhvaćene pravom po sjedištima centara za socijalni rad u 2018. </w:t>
      </w:r>
      <w:proofErr w:type="gramStart"/>
      <w:r w:rsidRPr="009F56B4">
        <w:rPr>
          <w:rFonts w:ascii="Times New Roman" w:hAnsi="Times New Roman" w:cs="Times New Roman"/>
          <w:b/>
          <w:i/>
          <w:sz w:val="24"/>
          <w:szCs w:val="24"/>
        </w:rPr>
        <w:t>godini</w:t>
      </w:r>
      <w:proofErr w:type="gramEnd"/>
    </w:p>
    <w:p w:rsidR="007E63B6" w:rsidRPr="009F56B4" w:rsidRDefault="007E63B6" w:rsidP="007E63B6">
      <w:pPr>
        <w:jc w:val="both"/>
        <w:rPr>
          <w:rFonts w:ascii="Times New Roman" w:hAnsi="Times New Roman" w:cs="Times New Roman"/>
          <w:sz w:val="28"/>
          <w:szCs w:val="28"/>
        </w:rPr>
      </w:pPr>
      <w:r w:rsidRPr="009F56B4">
        <w:rPr>
          <w:noProof/>
        </w:rPr>
        <w:drawing>
          <wp:inline distT="0" distB="0" distL="0" distR="0" wp14:anchorId="0E5E9D4B" wp14:editId="5EC4F7EC">
            <wp:extent cx="4572000" cy="6300788"/>
            <wp:effectExtent l="0" t="0" r="19050" b="241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63B6" w:rsidRDefault="007E63B6" w:rsidP="007E63B6">
      <w:pPr>
        <w:jc w:val="both"/>
        <w:rPr>
          <w:rFonts w:ascii="Times New Roman" w:hAnsi="Times New Roman" w:cs="Times New Roman"/>
          <w:sz w:val="24"/>
          <w:szCs w:val="24"/>
        </w:rPr>
      </w:pPr>
      <w:r w:rsidRPr="009F56B4">
        <w:rPr>
          <w:rFonts w:ascii="Times New Roman" w:hAnsi="Times New Roman" w:cs="Times New Roman"/>
          <w:sz w:val="24"/>
          <w:szCs w:val="24"/>
        </w:rPr>
        <w:t xml:space="preserve">Iz grafikona vidimo da je prosječan broj djece obuhvaćene pravom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dodatak za djecu u 2018. </w:t>
      </w:r>
      <w:proofErr w:type="gramStart"/>
      <w:r w:rsidRPr="009F56B4">
        <w:rPr>
          <w:rFonts w:ascii="Times New Roman" w:hAnsi="Times New Roman" w:cs="Times New Roman"/>
          <w:sz w:val="24"/>
          <w:szCs w:val="24"/>
        </w:rPr>
        <w:t>godini</w:t>
      </w:r>
      <w:proofErr w:type="gramEnd"/>
      <w:r w:rsidRPr="009F56B4">
        <w:rPr>
          <w:rFonts w:ascii="Times New Roman" w:hAnsi="Times New Roman" w:cs="Times New Roman"/>
          <w:sz w:val="24"/>
          <w:szCs w:val="24"/>
        </w:rPr>
        <w:t xml:space="preserve"> u većini opština, sjedišta centara za socijalni rad, približno dva puta veći od prosječnog broja nosilaca ovog prava. </w:t>
      </w:r>
    </w:p>
    <w:p w:rsidR="007E63B6" w:rsidRPr="009F56B4" w:rsidRDefault="007E63B6" w:rsidP="007E63B6">
      <w:pPr>
        <w:jc w:val="both"/>
        <w:rPr>
          <w:rFonts w:ascii="Times New Roman" w:hAnsi="Times New Roman" w:cs="Times New Roman"/>
          <w:sz w:val="24"/>
          <w:szCs w:val="24"/>
        </w:rPr>
      </w:pPr>
      <w:r w:rsidRPr="009F56B4">
        <w:rPr>
          <w:rFonts w:ascii="Times New Roman" w:hAnsi="Times New Roman" w:cs="Times New Roman"/>
          <w:sz w:val="24"/>
          <w:szCs w:val="24"/>
        </w:rPr>
        <w:t xml:space="preserve">Prosječan broj djece koja su koristila pravo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dodatak za djecu u 2018. </w:t>
      </w:r>
      <w:proofErr w:type="gramStart"/>
      <w:r w:rsidRPr="009F56B4">
        <w:rPr>
          <w:rFonts w:ascii="Times New Roman" w:hAnsi="Times New Roman" w:cs="Times New Roman"/>
          <w:sz w:val="24"/>
          <w:szCs w:val="24"/>
        </w:rPr>
        <w:t>godini</w:t>
      </w:r>
      <w:proofErr w:type="gramEnd"/>
      <w:r w:rsidRPr="009F56B4">
        <w:rPr>
          <w:rFonts w:ascii="Times New Roman" w:hAnsi="Times New Roman" w:cs="Times New Roman"/>
          <w:sz w:val="24"/>
          <w:szCs w:val="24"/>
        </w:rPr>
        <w:t xml:space="preserve">, najveći je na teritoriji opština u nadležnosti Centra za socijalni rad Podgorica, što je i očekivano imajući u </w:t>
      </w:r>
      <w:r w:rsidRPr="009F56B4">
        <w:rPr>
          <w:rFonts w:ascii="Times New Roman" w:hAnsi="Times New Roman" w:cs="Times New Roman"/>
          <w:sz w:val="24"/>
          <w:szCs w:val="24"/>
        </w:rPr>
        <w:lastRenderedPageBreak/>
        <w:t xml:space="preserve">vidu broj stanovnika nastanjenih na ovom području (30% stanovnika Crne Gore prema popisu iz 2011. godine). Prosječan broj djece obuhvaćene pravom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dodatak za djecu u 2018. </w:t>
      </w:r>
      <w:proofErr w:type="gramStart"/>
      <w:r w:rsidRPr="009F56B4">
        <w:rPr>
          <w:rFonts w:ascii="Times New Roman" w:hAnsi="Times New Roman" w:cs="Times New Roman"/>
          <w:sz w:val="24"/>
          <w:szCs w:val="24"/>
        </w:rPr>
        <w:t>godini</w:t>
      </w:r>
      <w:proofErr w:type="gramEnd"/>
      <w:r w:rsidRPr="009F56B4">
        <w:rPr>
          <w:rFonts w:ascii="Times New Roman" w:hAnsi="Times New Roman" w:cs="Times New Roman"/>
          <w:sz w:val="24"/>
          <w:szCs w:val="24"/>
        </w:rPr>
        <w:t xml:space="preserve"> najmanji je u Herceg Novom. </w:t>
      </w:r>
    </w:p>
    <w:p w:rsidR="007E63B6" w:rsidRPr="009F56B4" w:rsidRDefault="007E63B6" w:rsidP="007E63B6">
      <w:pPr>
        <w:jc w:val="both"/>
        <w:rPr>
          <w:rFonts w:ascii="Times New Roman" w:hAnsi="Times New Roman" w:cs="Times New Roman"/>
          <w:sz w:val="24"/>
          <w:szCs w:val="24"/>
        </w:rPr>
      </w:pPr>
      <w:r w:rsidRPr="009F56B4">
        <w:rPr>
          <w:rFonts w:ascii="Times New Roman" w:hAnsi="Times New Roman" w:cs="Times New Roman"/>
          <w:sz w:val="24"/>
          <w:szCs w:val="24"/>
        </w:rPr>
        <w:t xml:space="preserve">U tabeli broj </w:t>
      </w:r>
      <w:r>
        <w:rPr>
          <w:rFonts w:ascii="Times New Roman" w:hAnsi="Times New Roman" w:cs="Times New Roman"/>
          <w:sz w:val="24"/>
          <w:szCs w:val="24"/>
        </w:rPr>
        <w:t>9</w:t>
      </w:r>
      <w:r w:rsidRPr="009F56B4">
        <w:rPr>
          <w:rFonts w:ascii="Times New Roman" w:hAnsi="Times New Roman" w:cs="Times New Roman"/>
          <w:color w:val="F79646" w:themeColor="accent6"/>
          <w:sz w:val="24"/>
          <w:szCs w:val="24"/>
        </w:rPr>
        <w:t xml:space="preserve"> </w:t>
      </w:r>
      <w:r w:rsidRPr="009F56B4">
        <w:rPr>
          <w:rFonts w:ascii="Times New Roman" w:hAnsi="Times New Roman" w:cs="Times New Roman"/>
          <w:sz w:val="24"/>
          <w:szCs w:val="24"/>
        </w:rPr>
        <w:t xml:space="preserve">prikazan je udio djece obuhvaćene pravom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dodatak za djecu u ukupnom broju djece</w:t>
      </w:r>
      <w:r w:rsidR="00D062FE">
        <w:rPr>
          <w:rFonts w:ascii="Times New Roman" w:hAnsi="Times New Roman" w:cs="Times New Roman"/>
          <w:sz w:val="24"/>
          <w:szCs w:val="24"/>
        </w:rPr>
        <w:t>, odnosno djece i mladih do navršene 20 godina života, nastanjenih</w:t>
      </w:r>
      <w:r w:rsidRPr="009F56B4">
        <w:rPr>
          <w:rFonts w:ascii="Times New Roman" w:hAnsi="Times New Roman" w:cs="Times New Roman"/>
          <w:sz w:val="24"/>
          <w:szCs w:val="24"/>
        </w:rPr>
        <w:t xml:space="preserve"> na teritoriji opština iz nadležnosti centara za socijalni rad (podaci o broju djece po opštinama generisani iz publikacija MONSTAT-a “Stanovništvo prema starosti po opštinama”, Popis 2011). </w:t>
      </w:r>
    </w:p>
    <w:p w:rsidR="007E63B6" w:rsidRPr="0082032E" w:rsidRDefault="007E63B6" w:rsidP="007E63B6">
      <w:pPr>
        <w:jc w:val="both"/>
        <w:rPr>
          <w:rFonts w:ascii="Times New Roman" w:hAnsi="Times New Roman" w:cs="Times New Roman"/>
          <w:b/>
          <w:i/>
          <w:sz w:val="24"/>
          <w:szCs w:val="24"/>
        </w:rPr>
      </w:pPr>
      <w:r w:rsidRPr="0082032E">
        <w:rPr>
          <w:rFonts w:ascii="Times New Roman" w:hAnsi="Times New Roman" w:cs="Times New Roman"/>
          <w:b/>
          <w:i/>
          <w:sz w:val="24"/>
          <w:szCs w:val="24"/>
        </w:rPr>
        <w:t xml:space="preserve">Tabela br. 9: Udio djece obuhvaćene pravom </w:t>
      </w:r>
      <w:proofErr w:type="gramStart"/>
      <w:r w:rsidRPr="0082032E">
        <w:rPr>
          <w:rFonts w:ascii="Times New Roman" w:hAnsi="Times New Roman" w:cs="Times New Roman"/>
          <w:b/>
          <w:i/>
          <w:sz w:val="24"/>
          <w:szCs w:val="24"/>
        </w:rPr>
        <w:t>na</w:t>
      </w:r>
      <w:proofErr w:type="gramEnd"/>
      <w:r w:rsidRPr="0082032E">
        <w:rPr>
          <w:rFonts w:ascii="Times New Roman" w:hAnsi="Times New Roman" w:cs="Times New Roman"/>
          <w:b/>
          <w:i/>
          <w:sz w:val="24"/>
          <w:szCs w:val="24"/>
        </w:rPr>
        <w:t xml:space="preserve"> dodatak za djecu u broju djece </w:t>
      </w:r>
      <w:r w:rsidR="00D062FE">
        <w:rPr>
          <w:rFonts w:ascii="Times New Roman" w:hAnsi="Times New Roman" w:cs="Times New Roman"/>
          <w:b/>
          <w:i/>
          <w:sz w:val="24"/>
          <w:szCs w:val="24"/>
        </w:rPr>
        <w:t>i mladih do navršene 20 godine života nastanjenih</w:t>
      </w:r>
      <w:r w:rsidRPr="0082032E">
        <w:rPr>
          <w:rFonts w:ascii="Times New Roman" w:hAnsi="Times New Roman" w:cs="Times New Roman"/>
          <w:b/>
          <w:i/>
          <w:sz w:val="24"/>
          <w:szCs w:val="24"/>
        </w:rPr>
        <w:t xml:space="preserve"> na teritoriji opština </w:t>
      </w:r>
    </w:p>
    <w:p w:rsidR="007E63B6" w:rsidRPr="009F56B4" w:rsidRDefault="007E63B6" w:rsidP="007E63B6">
      <w:pPr>
        <w:jc w:val="both"/>
        <w:rPr>
          <w:rFonts w:ascii="Times New Roman" w:hAnsi="Times New Roman" w:cs="Times New Roman"/>
          <w:sz w:val="24"/>
          <w:szCs w:val="24"/>
        </w:rPr>
      </w:pPr>
      <w:r w:rsidRPr="009F56B4">
        <w:rPr>
          <w:noProof/>
        </w:rPr>
        <w:drawing>
          <wp:inline distT="0" distB="0" distL="0" distR="0" wp14:anchorId="1720B79C" wp14:editId="5D308A6D">
            <wp:extent cx="2875280" cy="3465195"/>
            <wp:effectExtent l="0" t="0" r="127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5280" cy="3465195"/>
                    </a:xfrm>
                    <a:prstGeom prst="rect">
                      <a:avLst/>
                    </a:prstGeom>
                    <a:noFill/>
                    <a:ln>
                      <a:noFill/>
                    </a:ln>
                  </pic:spPr>
                </pic:pic>
              </a:graphicData>
            </a:graphic>
          </wp:inline>
        </w:drawing>
      </w:r>
    </w:p>
    <w:p w:rsidR="007E63B6" w:rsidRPr="009F56B4" w:rsidRDefault="007E63B6" w:rsidP="007E63B6">
      <w:pPr>
        <w:jc w:val="both"/>
        <w:rPr>
          <w:rFonts w:ascii="Times New Roman" w:hAnsi="Times New Roman" w:cs="Times New Roman"/>
          <w:sz w:val="24"/>
          <w:szCs w:val="24"/>
        </w:rPr>
      </w:pPr>
      <w:r w:rsidRPr="009F56B4">
        <w:rPr>
          <w:rFonts w:ascii="Times New Roman" w:hAnsi="Times New Roman" w:cs="Times New Roman"/>
          <w:sz w:val="24"/>
          <w:szCs w:val="24"/>
        </w:rPr>
        <w:t xml:space="preserve">Iz tabele vidimo da </w:t>
      </w:r>
      <w:r w:rsidRPr="0082032E">
        <w:rPr>
          <w:rFonts w:ascii="Times New Roman" w:hAnsi="Times New Roman" w:cs="Times New Roman"/>
          <w:b/>
          <w:sz w:val="24"/>
          <w:szCs w:val="24"/>
        </w:rPr>
        <w:t xml:space="preserve">djeca obuhvaćena pravom </w:t>
      </w:r>
      <w:proofErr w:type="gramStart"/>
      <w:r w:rsidRPr="0082032E">
        <w:rPr>
          <w:rFonts w:ascii="Times New Roman" w:hAnsi="Times New Roman" w:cs="Times New Roman"/>
          <w:b/>
          <w:sz w:val="24"/>
          <w:szCs w:val="24"/>
        </w:rPr>
        <w:t>na</w:t>
      </w:r>
      <w:proofErr w:type="gramEnd"/>
      <w:r w:rsidRPr="0082032E">
        <w:rPr>
          <w:rFonts w:ascii="Times New Roman" w:hAnsi="Times New Roman" w:cs="Times New Roman"/>
          <w:b/>
          <w:sz w:val="24"/>
          <w:szCs w:val="24"/>
        </w:rPr>
        <w:t xml:space="preserve"> dodatak za djecu čine oko 9% djece u Crnoj Gori. </w:t>
      </w:r>
      <w:r w:rsidRPr="009F56B4">
        <w:rPr>
          <w:rFonts w:ascii="Times New Roman" w:hAnsi="Times New Roman" w:cs="Times New Roman"/>
          <w:sz w:val="24"/>
          <w:szCs w:val="24"/>
        </w:rPr>
        <w:t xml:space="preserve">Posmatrano po opštinama, najveći udio djece koja koriste pravo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dodatak za djecu, u odnosu na broj djece </w:t>
      </w:r>
      <w:r w:rsidR="00D062FE">
        <w:rPr>
          <w:rFonts w:ascii="Times New Roman" w:hAnsi="Times New Roman" w:cs="Times New Roman"/>
          <w:sz w:val="24"/>
          <w:szCs w:val="24"/>
        </w:rPr>
        <w:t xml:space="preserve">i mladih do navršene 20 godine života </w:t>
      </w:r>
      <w:bookmarkStart w:id="0" w:name="_GoBack"/>
      <w:bookmarkEnd w:id="0"/>
      <w:r w:rsidRPr="009F56B4">
        <w:rPr>
          <w:rFonts w:ascii="Times New Roman" w:hAnsi="Times New Roman" w:cs="Times New Roman"/>
          <w:sz w:val="24"/>
          <w:szCs w:val="24"/>
        </w:rPr>
        <w:t xml:space="preserve">na teritoriji opštine, imamo u Rožaju, a slijede Plav, Berane i Nikšić. Najmanji udio djece obuhvaćene pravom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dodatak za djecu je u Herceg Novom.</w:t>
      </w:r>
    </w:p>
    <w:p w:rsidR="007E63B6" w:rsidRPr="009F56B4" w:rsidRDefault="007E63B6" w:rsidP="007E63B6">
      <w:pPr>
        <w:shd w:val="clear" w:color="auto" w:fill="FFFFFF"/>
        <w:spacing w:after="0" w:line="240" w:lineRule="auto"/>
        <w:jc w:val="both"/>
        <w:rPr>
          <w:rFonts w:ascii="Times New Roman" w:hAnsi="Times New Roman" w:cs="Times New Roman"/>
          <w:sz w:val="28"/>
          <w:szCs w:val="28"/>
        </w:rPr>
      </w:pPr>
      <w:r w:rsidRPr="009F56B4">
        <w:rPr>
          <w:rFonts w:ascii="Times New Roman" w:hAnsi="Times New Roman" w:cs="Times New Roman"/>
          <w:sz w:val="28"/>
          <w:szCs w:val="28"/>
        </w:rPr>
        <w:t xml:space="preserve"> </w:t>
      </w:r>
    </w:p>
    <w:p w:rsidR="007E63B6" w:rsidRPr="009F56B4" w:rsidRDefault="007E63B6" w:rsidP="007E63B6">
      <w:pPr>
        <w:shd w:val="clear" w:color="auto" w:fill="FFFFFF"/>
        <w:spacing w:after="0" w:line="240" w:lineRule="auto"/>
        <w:jc w:val="both"/>
        <w:rPr>
          <w:rFonts w:ascii="Times New Roman" w:hAnsi="Times New Roman" w:cs="Times New Roman"/>
          <w:sz w:val="28"/>
          <w:szCs w:val="28"/>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u w:val="single"/>
        </w:rPr>
      </w:pPr>
      <w:r w:rsidRPr="009F56B4">
        <w:rPr>
          <w:rFonts w:ascii="Times New Roman" w:eastAsia="Times New Roman" w:hAnsi="Times New Roman" w:cs="Times New Roman"/>
          <w:sz w:val="24"/>
          <w:szCs w:val="24"/>
        </w:rPr>
        <w:t xml:space="preserve">Radi potpunijeg uvida u dinamiku ostvarivanja prava na materijalna davanja dajemo uporedni pregled kretanja broja korisnika u periodu od 2014 do 2018 godine za osnovna materijalna davanja iz socijalne i dječje zaštiti, odnosno za četiri najobimnija prava u ovoj oblasti, kojima je obuhvaćen najveći broj korisnika.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u w:val="single"/>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
          <w:i/>
          <w:sz w:val="24"/>
          <w:szCs w:val="24"/>
        </w:rPr>
      </w:pPr>
      <w:r w:rsidRPr="009F56B4">
        <w:rPr>
          <w:rFonts w:ascii="Times New Roman" w:eastAsia="Times New Roman" w:hAnsi="Times New Roman" w:cs="Times New Roman"/>
          <w:b/>
          <w:i/>
          <w:sz w:val="24"/>
          <w:szCs w:val="24"/>
        </w:rPr>
        <w:t>Grafikon br.</w:t>
      </w:r>
      <w:r>
        <w:rPr>
          <w:rFonts w:ascii="Times New Roman" w:eastAsia="Times New Roman" w:hAnsi="Times New Roman" w:cs="Times New Roman"/>
          <w:b/>
          <w:i/>
          <w:sz w:val="24"/>
          <w:szCs w:val="24"/>
        </w:rPr>
        <w:t>15</w:t>
      </w:r>
      <w:r w:rsidRPr="009F56B4">
        <w:rPr>
          <w:rFonts w:ascii="Times New Roman" w:eastAsia="Times New Roman" w:hAnsi="Times New Roman" w:cs="Times New Roman"/>
          <w:b/>
          <w:i/>
          <w:sz w:val="24"/>
          <w:szCs w:val="24"/>
        </w:rPr>
        <w:t xml:space="preserve">: Fluktuacija korisnika obuhvaćenih pravom </w:t>
      </w:r>
      <w:proofErr w:type="gramStart"/>
      <w:r w:rsidRPr="009F56B4">
        <w:rPr>
          <w:rFonts w:ascii="Times New Roman" w:eastAsia="Times New Roman" w:hAnsi="Times New Roman" w:cs="Times New Roman"/>
          <w:b/>
          <w:i/>
          <w:sz w:val="24"/>
          <w:szCs w:val="24"/>
        </w:rPr>
        <w:t>na</w:t>
      </w:r>
      <w:proofErr w:type="gramEnd"/>
      <w:r w:rsidRPr="009F56B4">
        <w:rPr>
          <w:rFonts w:ascii="Times New Roman" w:eastAsia="Times New Roman" w:hAnsi="Times New Roman" w:cs="Times New Roman"/>
          <w:b/>
          <w:i/>
          <w:sz w:val="24"/>
          <w:szCs w:val="24"/>
        </w:rPr>
        <w:t xml:space="preserve"> materijalno obezbjeđenje, dodatak za njegu i pomoć, ličnu invalidninu i dodatak za djecu u period od 2014 do 2018 godine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sz w:val="24"/>
          <w:szCs w:val="24"/>
        </w:rPr>
      </w:pPr>
    </w:p>
    <w:p w:rsidR="007E63B6" w:rsidRPr="009F56B4" w:rsidRDefault="007E63B6" w:rsidP="007E63B6">
      <w:pPr>
        <w:rPr>
          <w:rFonts w:ascii="Times New Roman" w:hAnsi="Times New Roman" w:cs="Times New Roman"/>
          <w:sz w:val="28"/>
          <w:szCs w:val="28"/>
        </w:rPr>
      </w:pPr>
      <w:r w:rsidRPr="009F56B4">
        <w:rPr>
          <w:noProof/>
        </w:rPr>
        <w:drawing>
          <wp:inline distT="0" distB="0" distL="0" distR="0" wp14:anchorId="1B51B14A" wp14:editId="280B1902">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63B6" w:rsidRPr="009F56B4" w:rsidRDefault="007E63B6" w:rsidP="007E63B6">
      <w:pPr>
        <w:jc w:val="both"/>
        <w:rPr>
          <w:rFonts w:ascii="Times New Roman" w:hAnsi="Times New Roman" w:cs="Times New Roman"/>
          <w:sz w:val="24"/>
          <w:szCs w:val="24"/>
        </w:rPr>
      </w:pPr>
      <w:r w:rsidRPr="009F56B4">
        <w:rPr>
          <w:rFonts w:ascii="Times New Roman" w:hAnsi="Times New Roman" w:cs="Times New Roman"/>
          <w:sz w:val="24"/>
          <w:szCs w:val="24"/>
        </w:rPr>
        <w:t xml:space="preserve">Iz grafikona je vidljivo da je broj korisnika obuhvaćenih pravom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ličnu invalidninu veoma malo varirao tokom godina. S druge strane, kod korišćenja prava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dodatak za njegu i pomoć evidentan je trend okomitog porasta broja korisnika u periodu od 2014.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do 2016.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nakon čega se broj korisnika, uz manje varijacije (blagi pad u 2017. godini), održava na nivou dostignutom 2016.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Najveće promjene uočavaju se u kretanju broja korisnika obuhvaćenih pravom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materijalno obezbjeđenje i pravom na dodatak za djecu tokom posmatranog vremenskog intervala. U periodu </w:t>
      </w:r>
      <w:proofErr w:type="gramStart"/>
      <w:r w:rsidRPr="009F56B4">
        <w:rPr>
          <w:rFonts w:ascii="Times New Roman" w:hAnsi="Times New Roman" w:cs="Times New Roman"/>
          <w:sz w:val="24"/>
          <w:szCs w:val="24"/>
        </w:rPr>
        <w:t>od</w:t>
      </w:r>
      <w:proofErr w:type="gramEnd"/>
      <w:r w:rsidRPr="009F56B4">
        <w:rPr>
          <w:rFonts w:ascii="Times New Roman" w:hAnsi="Times New Roman" w:cs="Times New Roman"/>
          <w:sz w:val="24"/>
          <w:szCs w:val="24"/>
        </w:rPr>
        <w:t xml:space="preserve"> 2014. </w:t>
      </w:r>
      <w:proofErr w:type="gramStart"/>
      <w:r w:rsidRPr="009F56B4">
        <w:rPr>
          <w:rFonts w:ascii="Times New Roman" w:hAnsi="Times New Roman" w:cs="Times New Roman"/>
          <w:sz w:val="24"/>
          <w:szCs w:val="24"/>
        </w:rPr>
        <w:t>do</w:t>
      </w:r>
      <w:proofErr w:type="gramEnd"/>
      <w:r w:rsidRPr="009F56B4">
        <w:rPr>
          <w:rFonts w:ascii="Times New Roman" w:hAnsi="Times New Roman" w:cs="Times New Roman"/>
          <w:sz w:val="24"/>
          <w:szCs w:val="24"/>
        </w:rPr>
        <w:t xml:space="preserve"> 2016.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broj korisnika materijalnog obezbjeđenja kontinuirano opada, s tim što se okomit pad broja korisnika registruje u 2016. </w:t>
      </w:r>
      <w:proofErr w:type="gramStart"/>
      <w:r w:rsidRPr="009F56B4">
        <w:rPr>
          <w:rFonts w:ascii="Times New Roman" w:hAnsi="Times New Roman" w:cs="Times New Roman"/>
          <w:sz w:val="24"/>
          <w:szCs w:val="24"/>
        </w:rPr>
        <w:t>godini</w:t>
      </w:r>
      <w:proofErr w:type="gramEnd"/>
      <w:r w:rsidRPr="009F56B4">
        <w:rPr>
          <w:rFonts w:ascii="Times New Roman" w:hAnsi="Times New Roman" w:cs="Times New Roman"/>
          <w:sz w:val="24"/>
          <w:szCs w:val="24"/>
        </w:rPr>
        <w:t xml:space="preserve">, nakon čega se, u intervalu od 2016. </w:t>
      </w:r>
      <w:proofErr w:type="gramStart"/>
      <w:r w:rsidRPr="009F56B4">
        <w:rPr>
          <w:rFonts w:ascii="Times New Roman" w:hAnsi="Times New Roman" w:cs="Times New Roman"/>
          <w:sz w:val="24"/>
          <w:szCs w:val="24"/>
        </w:rPr>
        <w:t>do</w:t>
      </w:r>
      <w:proofErr w:type="gramEnd"/>
      <w:r w:rsidRPr="009F56B4">
        <w:rPr>
          <w:rFonts w:ascii="Times New Roman" w:hAnsi="Times New Roman" w:cs="Times New Roman"/>
          <w:sz w:val="24"/>
          <w:szCs w:val="24"/>
        </w:rPr>
        <w:t xml:space="preserve"> 2018.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zapaža laganiji uzlazni trend. Broj korisnika obuhvaćenih pravom </w:t>
      </w:r>
      <w:proofErr w:type="gramStart"/>
      <w:r w:rsidRPr="009F56B4">
        <w:rPr>
          <w:rFonts w:ascii="Times New Roman" w:hAnsi="Times New Roman" w:cs="Times New Roman"/>
          <w:sz w:val="24"/>
          <w:szCs w:val="24"/>
        </w:rPr>
        <w:t>na</w:t>
      </w:r>
      <w:proofErr w:type="gramEnd"/>
      <w:r w:rsidRPr="009F56B4">
        <w:rPr>
          <w:rFonts w:ascii="Times New Roman" w:hAnsi="Times New Roman" w:cs="Times New Roman"/>
          <w:sz w:val="24"/>
          <w:szCs w:val="24"/>
        </w:rPr>
        <w:t xml:space="preserve"> dodatak za djecu je kontinuirano i relativno postepeno opadao u periodu od 2014. </w:t>
      </w:r>
      <w:proofErr w:type="gramStart"/>
      <w:r w:rsidRPr="009F56B4">
        <w:rPr>
          <w:rFonts w:ascii="Times New Roman" w:hAnsi="Times New Roman" w:cs="Times New Roman"/>
          <w:sz w:val="24"/>
          <w:szCs w:val="24"/>
        </w:rPr>
        <w:t>do</w:t>
      </w:r>
      <w:proofErr w:type="gramEnd"/>
      <w:r w:rsidRPr="009F56B4">
        <w:rPr>
          <w:rFonts w:ascii="Times New Roman" w:hAnsi="Times New Roman" w:cs="Times New Roman"/>
          <w:sz w:val="24"/>
          <w:szCs w:val="24"/>
        </w:rPr>
        <w:t xml:space="preserve"> 2017.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dok se u 2018. </w:t>
      </w:r>
      <w:proofErr w:type="gramStart"/>
      <w:r w:rsidRPr="009F56B4">
        <w:rPr>
          <w:rFonts w:ascii="Times New Roman" w:hAnsi="Times New Roman" w:cs="Times New Roman"/>
          <w:sz w:val="24"/>
          <w:szCs w:val="24"/>
        </w:rPr>
        <w:t>godini</w:t>
      </w:r>
      <w:proofErr w:type="gramEnd"/>
      <w:r w:rsidRPr="009F56B4">
        <w:rPr>
          <w:rFonts w:ascii="Times New Roman" w:hAnsi="Times New Roman" w:cs="Times New Roman"/>
          <w:sz w:val="24"/>
          <w:szCs w:val="24"/>
        </w:rPr>
        <w:t xml:space="preserve"> bilježi porast broja korisnika (uvećanje od 33,92% u odnosu na 2017. godinu ). Takođe, uočava se da kretanje broja korisnika dodatka za djecu ne prati sasvim fluktuacije korisnika materijalnog obezbjeđenja, u smislu da u intervalu </w:t>
      </w:r>
      <w:proofErr w:type="gramStart"/>
      <w:r w:rsidRPr="009F56B4">
        <w:rPr>
          <w:rFonts w:ascii="Times New Roman" w:hAnsi="Times New Roman" w:cs="Times New Roman"/>
          <w:sz w:val="24"/>
          <w:szCs w:val="24"/>
        </w:rPr>
        <w:t>od</w:t>
      </w:r>
      <w:proofErr w:type="gramEnd"/>
      <w:r w:rsidRPr="009F56B4">
        <w:rPr>
          <w:rFonts w:ascii="Times New Roman" w:hAnsi="Times New Roman" w:cs="Times New Roman"/>
          <w:sz w:val="24"/>
          <w:szCs w:val="24"/>
        </w:rPr>
        <w:t xml:space="preserve"> 2016.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do 2017. </w:t>
      </w:r>
      <w:proofErr w:type="gramStart"/>
      <w:r w:rsidRPr="009F56B4">
        <w:rPr>
          <w:rFonts w:ascii="Times New Roman" w:hAnsi="Times New Roman" w:cs="Times New Roman"/>
          <w:sz w:val="24"/>
          <w:szCs w:val="24"/>
        </w:rPr>
        <w:t>godine</w:t>
      </w:r>
      <w:proofErr w:type="gramEnd"/>
      <w:r w:rsidRPr="009F56B4">
        <w:rPr>
          <w:rFonts w:ascii="Times New Roman" w:hAnsi="Times New Roman" w:cs="Times New Roman"/>
          <w:sz w:val="24"/>
          <w:szCs w:val="24"/>
        </w:rPr>
        <w:t xml:space="preserve"> broj korisnika dodatka za djecu nastavlja trend opadanja, dok se istovremeno uvećava broj korisnika materijalnog obezbjeđenja.   </w:t>
      </w:r>
    </w:p>
    <w:p w:rsidR="007E63B6" w:rsidRDefault="007E63B6" w:rsidP="007E63B6">
      <w:pPr>
        <w:jc w:val="both"/>
        <w:rPr>
          <w:rFonts w:ascii="Times New Roman" w:hAnsi="Times New Roman" w:cs="Times New Roman"/>
          <w:b/>
          <w:sz w:val="24"/>
          <w:szCs w:val="24"/>
        </w:rPr>
      </w:pPr>
    </w:p>
    <w:p w:rsidR="007E63B6" w:rsidRDefault="007E63B6" w:rsidP="007E63B6">
      <w:pPr>
        <w:jc w:val="both"/>
        <w:rPr>
          <w:rFonts w:ascii="Times New Roman" w:hAnsi="Times New Roman" w:cs="Times New Roman"/>
          <w:b/>
          <w:sz w:val="24"/>
          <w:szCs w:val="24"/>
        </w:rPr>
      </w:pPr>
    </w:p>
    <w:p w:rsidR="007E63B6" w:rsidRDefault="007E63B6" w:rsidP="007E63B6">
      <w:pPr>
        <w:jc w:val="both"/>
        <w:rPr>
          <w:rFonts w:ascii="Times New Roman" w:hAnsi="Times New Roman" w:cs="Times New Roman"/>
          <w:b/>
          <w:sz w:val="24"/>
          <w:szCs w:val="24"/>
        </w:rPr>
      </w:pPr>
      <w:r w:rsidRPr="0082032E">
        <w:rPr>
          <w:rFonts w:ascii="Times New Roman" w:hAnsi="Times New Roman" w:cs="Times New Roman"/>
          <w:b/>
          <w:sz w:val="24"/>
          <w:szCs w:val="24"/>
        </w:rPr>
        <w:t>ZAKLJUČAK</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sidRPr="009F56B4">
        <w:rPr>
          <w:rFonts w:ascii="Times New Roman" w:eastAsia="Times New Roman" w:hAnsi="Times New Roman" w:cs="Times New Roman"/>
          <w:bCs/>
          <w:color w:val="000000"/>
          <w:sz w:val="24"/>
          <w:szCs w:val="24"/>
          <w:lang w:val="sl-SI"/>
        </w:rPr>
        <w:t xml:space="preserve">Imajući u vidu širok spektar prava iz materijalnih davanja i ključne nadležnosti centara za socijalni rad u njihovom ostvarivanju, rad na materijalnim davanjima zahtjeva značajna ulaganja stručnih resursa i istovremeno otežava ili onemogućava njihovo usmjeravanje na druge stručne poslove iz oblasti socijalne, dječje i porodičnopravne zaštite.  </w:t>
      </w: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sidRPr="009F56B4">
        <w:rPr>
          <w:rFonts w:ascii="Times New Roman" w:eastAsia="Times New Roman" w:hAnsi="Times New Roman" w:cs="Times New Roman"/>
          <w:bCs/>
          <w:color w:val="000000"/>
          <w:sz w:val="24"/>
          <w:szCs w:val="24"/>
          <w:lang w:val="sl-SI"/>
        </w:rPr>
        <w:t xml:space="preserve">Međutim, mišljenje mnogih stručnjaka je da je rad na materijalnim davanjima, u kontekstu rada na slučaju, tako organizovan da se vodi računa i o drugim potrebama korisnika, a ne samo onim koje su u neposrednoj vezi sa konkretnim pravom, odnosno da se kroz stručni socijalni rad prilikom priznavanja prava na materijalna davanja (npr. materijalno obezbjeđenje ili jednokratnu novčanu pomoć i dr), ne utvrđuje samo ispunjenost uslova za određeno pravo, već i druge potrebe, kao i rizici pojedinaca i porodica. Tako, kada stručni radnik na materijalnim davanjima odlazi u porodice radi utvrđivanja uslova za ostvarivanje prava na materijalno obezbjeđenje ili jednokratnu novčanu pomoć, može utvrditi rizike po dijete i uvesti dijete i porodicu u druge procedure radi primjene mjera zaštite i ostvarivanja drugih prava, koje rizike ne bi bilo moguće identifikovati da se prava na materijalna davanja ostvaruju isključivo kroz administrativne postupke, bez isprepletanosti sa stručnim socijalnim radom u utvrđivanju činjenica o  kojima se ne vodi službena evidencija. Ovako koncipiran pristup ostvarivanju prava na osnovna materijalna davanja iz socijalne zaštite s obzirom na širok obuhvat korisnika ovim pravima, prije svega pravom na materijalno obezbjeđenje i jednokratnu novčanu pomoć, ima potencijal da omogući detektovanje problema u ranoj fazi i obezbjedi uslove za njihovu prevenciju. Pri tome administriranje zahtjeva za ostvarivanje drugih prava iz materijalnih davanja koja ne uključuju obavezan stručni postupak trebalo bi preusmjeriti na administrativne radnike kako bi stručni radnici na materijalnim davanjima, prije svega socijalni radnici, imali više prostora za terenski rad i proaktivno djelovanje.    </w:t>
      </w:r>
    </w:p>
    <w:p w:rsidR="007E63B6"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p>
    <w:p w:rsidR="007E63B6" w:rsidRPr="009F56B4" w:rsidRDefault="007E63B6" w:rsidP="007E63B6">
      <w:pPr>
        <w:shd w:val="clear" w:color="auto" w:fill="FFFFFF"/>
        <w:spacing w:after="0" w:line="240" w:lineRule="auto"/>
        <w:jc w:val="both"/>
        <w:rPr>
          <w:rFonts w:ascii="Times New Roman" w:eastAsia="Times New Roman" w:hAnsi="Times New Roman" w:cs="Times New Roman"/>
          <w:bCs/>
          <w:color w:val="000000"/>
          <w:sz w:val="24"/>
          <w:szCs w:val="24"/>
          <w:lang w:val="sl-SI"/>
        </w:rPr>
      </w:pPr>
      <w:r>
        <w:rPr>
          <w:rFonts w:ascii="Times New Roman" w:eastAsia="Times New Roman" w:hAnsi="Times New Roman" w:cs="Times New Roman"/>
          <w:bCs/>
          <w:color w:val="000000"/>
          <w:sz w:val="24"/>
          <w:szCs w:val="24"/>
          <w:lang w:val="sl-SI"/>
        </w:rPr>
        <w:t xml:space="preserve">Brojne studije su potvrdile da postoji snažna povezanost između siromaštva i nepovoljnih materijalnih uslova života, s jedne strane i nepovoljnih ishoda u razvoju djece, s druge strane, posebno u oblasti zdravlja i obrazovanja. Dostupnost finansijskih resursa je povezana sa nizom faktora čija kombinacija ima veliki uticaj na sposobnost roditelja da odgovore na potrebe djece, ali i direktan uticaj na svakodnevni život i šanse djece u budućnosti. Sve to potencira značaj obezbjeđivanja sveobuhvatne, materijalne i psihosocijalne, pomoći i podrške porodicama koje se suočavaju sa materijalnom deprivacijom.   </w:t>
      </w:r>
      <w:r w:rsidRPr="009F56B4">
        <w:rPr>
          <w:rFonts w:ascii="Times New Roman" w:eastAsia="Times New Roman" w:hAnsi="Times New Roman" w:cs="Times New Roman"/>
          <w:bCs/>
          <w:color w:val="000000"/>
          <w:sz w:val="24"/>
          <w:szCs w:val="24"/>
          <w:lang w:val="sl-SI"/>
        </w:rPr>
        <w:t xml:space="preserve">    </w:t>
      </w:r>
    </w:p>
    <w:p w:rsidR="007E63B6" w:rsidRDefault="007E63B6" w:rsidP="007E63B6">
      <w:pPr>
        <w:jc w:val="both"/>
        <w:rPr>
          <w:rFonts w:ascii="Times New Roman" w:hAnsi="Times New Roman" w:cs="Times New Roman"/>
          <w:sz w:val="28"/>
          <w:szCs w:val="28"/>
        </w:rPr>
      </w:pPr>
    </w:p>
    <w:p w:rsidR="007E63B6" w:rsidRPr="00BC45F5" w:rsidRDefault="007E63B6" w:rsidP="007E63B6">
      <w:pPr>
        <w:jc w:val="both"/>
        <w:rPr>
          <w:rFonts w:ascii="Times New Roman" w:hAnsi="Times New Roman" w:cs="Times New Roman"/>
          <w:sz w:val="24"/>
          <w:szCs w:val="24"/>
        </w:rPr>
      </w:pPr>
      <w:r>
        <w:rPr>
          <w:rFonts w:ascii="Times New Roman" w:hAnsi="Times New Roman" w:cs="Times New Roman"/>
          <w:sz w:val="24"/>
          <w:szCs w:val="24"/>
        </w:rPr>
        <w:t>Projekat “Socijalni karton - Integrisani i</w:t>
      </w:r>
      <w:r w:rsidRPr="00BC45F5">
        <w:rPr>
          <w:rFonts w:ascii="Times New Roman" w:hAnsi="Times New Roman" w:cs="Times New Roman"/>
          <w:sz w:val="24"/>
          <w:szCs w:val="24"/>
        </w:rPr>
        <w:t xml:space="preserve">nformacioni </w:t>
      </w:r>
      <w:r>
        <w:rPr>
          <w:rFonts w:ascii="Times New Roman" w:hAnsi="Times New Roman" w:cs="Times New Roman"/>
          <w:sz w:val="24"/>
          <w:szCs w:val="24"/>
        </w:rPr>
        <w:t xml:space="preserve">sistem socijalnog staranja” omogućava razmjenu relevantnih podataka između različitih institucija i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taj način obezbjeđuje precizniju i djelotvorniju materijalnu podršku.   </w:t>
      </w:r>
      <w:r w:rsidRPr="00BC45F5">
        <w:rPr>
          <w:rFonts w:ascii="Times New Roman" w:hAnsi="Times New Roman" w:cs="Times New Roman"/>
          <w:sz w:val="24"/>
          <w:szCs w:val="24"/>
        </w:rPr>
        <w:br w:type="page"/>
      </w:r>
    </w:p>
    <w:p w:rsidR="009018A1" w:rsidRDefault="009018A1" w:rsidP="00EC0656">
      <w:pPr>
        <w:jc w:val="both"/>
        <w:rPr>
          <w:rFonts w:ascii="Times New Roman" w:hAnsi="Times New Roman" w:cs="Times New Roman"/>
          <w:sz w:val="28"/>
          <w:szCs w:val="28"/>
        </w:rPr>
      </w:pPr>
    </w:p>
    <w:p w:rsidR="002A5B64" w:rsidRPr="00533628" w:rsidRDefault="002A5B64" w:rsidP="00EC0656">
      <w:pPr>
        <w:jc w:val="both"/>
        <w:rPr>
          <w:rFonts w:ascii="Times New Roman" w:hAnsi="Times New Roman" w:cs="Times New Roman"/>
          <w:sz w:val="28"/>
          <w:szCs w:val="28"/>
        </w:rPr>
      </w:pPr>
    </w:p>
    <w:sectPr w:rsidR="002A5B64" w:rsidRPr="00533628" w:rsidSect="00902844">
      <w:headerReference w:type="default" r:id="rId31"/>
      <w:pgSz w:w="12240" w:h="15840"/>
      <w:pgMar w:top="1440" w:right="1440" w:bottom="1440" w:left="1440" w:header="100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793" w:rsidRDefault="00061793" w:rsidP="003244AD">
      <w:pPr>
        <w:spacing w:after="0" w:line="240" w:lineRule="auto"/>
      </w:pPr>
      <w:r>
        <w:separator/>
      </w:r>
    </w:p>
  </w:endnote>
  <w:endnote w:type="continuationSeparator" w:id="0">
    <w:p w:rsidR="00061793" w:rsidRDefault="00061793" w:rsidP="00324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83206"/>
      <w:docPartObj>
        <w:docPartGallery w:val="Page Numbers (Bottom of Page)"/>
        <w:docPartUnique/>
      </w:docPartObj>
    </w:sdtPr>
    <w:sdtEndPr>
      <w:rPr>
        <w:noProof/>
      </w:rPr>
    </w:sdtEndPr>
    <w:sdtContent>
      <w:p w:rsidR="00C33B34" w:rsidRDefault="00C33B34">
        <w:pPr>
          <w:pStyle w:val="Footer"/>
          <w:jc w:val="right"/>
        </w:pPr>
        <w:r>
          <w:fldChar w:fldCharType="begin"/>
        </w:r>
        <w:r>
          <w:instrText xml:space="preserve"> PAGE   \* MERGEFORMAT </w:instrText>
        </w:r>
        <w:r>
          <w:fldChar w:fldCharType="separate"/>
        </w:r>
        <w:r w:rsidR="00D062FE">
          <w:rPr>
            <w:noProof/>
          </w:rPr>
          <w:t>26</w:t>
        </w:r>
        <w:r>
          <w:rPr>
            <w:noProof/>
          </w:rPr>
          <w:fldChar w:fldCharType="end"/>
        </w:r>
      </w:p>
    </w:sdtContent>
  </w:sdt>
  <w:p w:rsidR="009110D3" w:rsidRDefault="009110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0D3" w:rsidRPr="006C2F0D" w:rsidRDefault="009110D3" w:rsidP="006C2F0D">
    <w:pPr>
      <w:pStyle w:val="Footer"/>
      <w:rPr>
        <w:color w:val="474747"/>
      </w:rPr>
    </w:pPr>
  </w:p>
  <w:p w:rsidR="009110D3" w:rsidRDefault="009110D3">
    <w:pPr>
      <w:pStyle w:val="Footer"/>
    </w:pPr>
  </w:p>
  <w:p w:rsidR="009110D3" w:rsidRPr="00BE4DAB" w:rsidRDefault="009110D3" w:rsidP="009110D3">
    <w:pPr>
      <w:pStyle w:val="Footer"/>
      <w:jc w:val="center"/>
      <w:rPr>
        <w:rFonts w:ascii="Arial" w:hAnsi="Arial" w:cs="Arial"/>
        <w:b/>
        <w:u w:val="single"/>
        <w:lang w:val="sr-Latn-M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793" w:rsidRDefault="00061793" w:rsidP="003244AD">
      <w:pPr>
        <w:spacing w:after="0" w:line="240" w:lineRule="auto"/>
      </w:pPr>
      <w:r>
        <w:separator/>
      </w:r>
    </w:p>
  </w:footnote>
  <w:footnote w:type="continuationSeparator" w:id="0">
    <w:p w:rsidR="00061793" w:rsidRDefault="00061793" w:rsidP="003244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0D3" w:rsidRDefault="009110D3" w:rsidP="009110D3">
    <w:pPr>
      <w:spacing w:after="0" w:line="240" w:lineRule="auto"/>
      <w:jc w:val="center"/>
    </w:pPr>
    <w:r>
      <w:rPr>
        <w:noProof/>
      </w:rPr>
      <w:drawing>
        <wp:anchor distT="0" distB="0" distL="114300" distR="114300" simplePos="0" relativeHeight="251662336" behindDoc="0" locked="0" layoutInCell="1" allowOverlap="1" wp14:anchorId="3B7B671E" wp14:editId="082FB2E2">
          <wp:simplePos x="0" y="0"/>
          <wp:positionH relativeFrom="column">
            <wp:posOffset>2419985</wp:posOffset>
          </wp:positionH>
          <wp:positionV relativeFrom="paragraph">
            <wp:posOffset>-539115</wp:posOffset>
          </wp:positionV>
          <wp:extent cx="885825" cy="933450"/>
          <wp:effectExtent l="0" t="0" r="9525" b="0"/>
          <wp:wrapSquare wrapText="bothSides"/>
          <wp:docPr id="29" name="Picture 29" descr="C:\Users\User\Pictures\g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grb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anchor>
      </w:drawing>
    </w:r>
    <w:r>
      <w:tab/>
    </w:r>
  </w:p>
  <w:p w:rsidR="009110D3" w:rsidRDefault="009110D3" w:rsidP="009110D3">
    <w:pPr>
      <w:spacing w:after="0" w:line="240" w:lineRule="auto"/>
      <w:jc w:val="center"/>
      <w:rPr>
        <w:rFonts w:ascii="Arial" w:hAnsi="Arial" w:cs="Arial"/>
        <w:b/>
        <w:sz w:val="28"/>
        <w:szCs w:val="28"/>
        <w:lang w:val="sr-Latn-ME"/>
      </w:rPr>
    </w:pPr>
  </w:p>
  <w:p w:rsidR="009110D3" w:rsidRPr="005353D7" w:rsidRDefault="009110D3" w:rsidP="009110D3">
    <w:pPr>
      <w:pStyle w:val="Header"/>
      <w:jc w:val="center"/>
      <w:rPr>
        <w:lang w:val="sr-Latn-ME"/>
      </w:rPr>
    </w:pPr>
    <w:r w:rsidRPr="005353D7">
      <w:rPr>
        <w:rFonts w:ascii="Monotype Corsiva" w:hAnsi="Monotype Corsiva"/>
        <w:sz w:val="36"/>
        <w:szCs w:val="36"/>
        <w:lang w:val="sr-Latn-ME"/>
      </w:rPr>
      <w:t>Crna Gora</w:t>
    </w:r>
  </w:p>
  <w:p w:rsidR="009110D3" w:rsidRPr="005353D7" w:rsidRDefault="009110D3" w:rsidP="009110D3">
    <w:pPr>
      <w:spacing w:after="0" w:line="240" w:lineRule="auto"/>
      <w:jc w:val="center"/>
      <w:rPr>
        <w:rFonts w:ascii="Monotype Corsiva" w:hAnsi="Monotype Corsiva"/>
        <w:sz w:val="36"/>
        <w:szCs w:val="36"/>
        <w:lang w:val="sr-Latn-ME"/>
      </w:rPr>
    </w:pPr>
    <w:r>
      <w:rPr>
        <w:rFonts w:ascii="Monotype Corsiva" w:hAnsi="Monotype Corsiva"/>
        <w:sz w:val="14"/>
        <w:szCs w:val="14"/>
        <w:lang w:val="sr-Latn-ME"/>
      </w:rPr>
      <w:t>________</w:t>
    </w:r>
    <w:r w:rsidRPr="005353D7">
      <w:rPr>
        <w:rFonts w:ascii="Monotype Corsiva" w:hAnsi="Monotype Corsiva"/>
        <w:sz w:val="14"/>
        <w:szCs w:val="14"/>
        <w:lang w:val="sr-Latn-ME"/>
      </w:rPr>
      <w:t>___</w:t>
    </w:r>
    <w:r>
      <w:rPr>
        <w:rFonts w:ascii="Monotype Corsiva" w:hAnsi="Monotype Corsiva"/>
        <w:sz w:val="14"/>
        <w:szCs w:val="14"/>
        <w:lang w:val="sr-Latn-ME"/>
      </w:rPr>
      <w:t>____________________________</w:t>
    </w:r>
  </w:p>
  <w:p w:rsidR="009110D3" w:rsidRPr="005353D7" w:rsidRDefault="009110D3" w:rsidP="009110D3">
    <w:pPr>
      <w:pStyle w:val="Header"/>
      <w:jc w:val="center"/>
      <w:rPr>
        <w:rFonts w:ascii="Monotype Corsiva" w:hAnsi="Monotype Corsiva"/>
        <w:sz w:val="32"/>
        <w:szCs w:val="32"/>
        <w:lang w:val="sr-Latn-ME"/>
      </w:rPr>
    </w:pPr>
    <w:r w:rsidRPr="005353D7">
      <w:rPr>
        <w:rFonts w:ascii="Monotype Corsiva" w:hAnsi="Monotype Corsiva"/>
        <w:sz w:val="32"/>
        <w:szCs w:val="32"/>
        <w:lang w:val="sr-Latn-ME"/>
      </w:rPr>
      <w:t>Zavod za socijalnu i dječju zaštitu</w:t>
    </w:r>
  </w:p>
  <w:p w:rsidR="009110D3" w:rsidRPr="00FE3B2F" w:rsidRDefault="009110D3" w:rsidP="009110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0D3" w:rsidRDefault="009110D3" w:rsidP="009110D3">
    <w:pPr>
      <w:spacing w:after="0" w:line="240" w:lineRule="auto"/>
      <w:jc w:val="center"/>
    </w:pPr>
    <w:r>
      <w:rPr>
        <w:noProof/>
      </w:rPr>
      <w:drawing>
        <wp:anchor distT="0" distB="0" distL="114300" distR="114300" simplePos="0" relativeHeight="251661312" behindDoc="0" locked="0" layoutInCell="1" allowOverlap="1" wp14:anchorId="28EE386F" wp14:editId="55F7B3DE">
          <wp:simplePos x="0" y="0"/>
          <wp:positionH relativeFrom="column">
            <wp:posOffset>2419985</wp:posOffset>
          </wp:positionH>
          <wp:positionV relativeFrom="paragraph">
            <wp:posOffset>-539115</wp:posOffset>
          </wp:positionV>
          <wp:extent cx="885825" cy="933450"/>
          <wp:effectExtent l="0" t="0" r="9525" b="0"/>
          <wp:wrapSquare wrapText="bothSides"/>
          <wp:docPr id="1" name="Picture 1" descr="C:\Users\User\Pictures\g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grb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anchor>
      </w:drawing>
    </w:r>
    <w:r>
      <w:tab/>
    </w:r>
  </w:p>
  <w:p w:rsidR="009110D3" w:rsidRDefault="009110D3" w:rsidP="009110D3">
    <w:pPr>
      <w:spacing w:after="0" w:line="240" w:lineRule="auto"/>
      <w:jc w:val="center"/>
      <w:rPr>
        <w:rFonts w:ascii="Arial" w:hAnsi="Arial" w:cs="Arial"/>
        <w:b/>
        <w:sz w:val="28"/>
        <w:szCs w:val="28"/>
        <w:lang w:val="sr-Latn-ME"/>
      </w:rPr>
    </w:pPr>
  </w:p>
  <w:p w:rsidR="009110D3" w:rsidRPr="005353D7" w:rsidRDefault="009110D3" w:rsidP="009110D3">
    <w:pPr>
      <w:pStyle w:val="Header"/>
      <w:jc w:val="center"/>
      <w:rPr>
        <w:lang w:val="sr-Latn-ME"/>
      </w:rPr>
    </w:pPr>
    <w:r w:rsidRPr="005353D7">
      <w:rPr>
        <w:rFonts w:ascii="Monotype Corsiva" w:hAnsi="Monotype Corsiva"/>
        <w:sz w:val="36"/>
        <w:szCs w:val="36"/>
        <w:lang w:val="sr-Latn-ME"/>
      </w:rPr>
      <w:t>Crna Gora</w:t>
    </w:r>
  </w:p>
  <w:p w:rsidR="009110D3" w:rsidRPr="005353D7" w:rsidRDefault="009110D3" w:rsidP="009110D3">
    <w:pPr>
      <w:spacing w:after="0" w:line="240" w:lineRule="auto"/>
      <w:jc w:val="center"/>
      <w:rPr>
        <w:rFonts w:ascii="Monotype Corsiva" w:hAnsi="Monotype Corsiva"/>
        <w:sz w:val="36"/>
        <w:szCs w:val="36"/>
        <w:lang w:val="sr-Latn-ME"/>
      </w:rPr>
    </w:pPr>
    <w:r>
      <w:rPr>
        <w:rFonts w:ascii="Monotype Corsiva" w:hAnsi="Monotype Corsiva"/>
        <w:sz w:val="14"/>
        <w:szCs w:val="14"/>
        <w:lang w:val="sr-Latn-ME"/>
      </w:rPr>
      <w:t>________</w:t>
    </w:r>
    <w:r w:rsidRPr="005353D7">
      <w:rPr>
        <w:rFonts w:ascii="Monotype Corsiva" w:hAnsi="Monotype Corsiva"/>
        <w:sz w:val="14"/>
        <w:szCs w:val="14"/>
        <w:lang w:val="sr-Latn-ME"/>
      </w:rPr>
      <w:t>___</w:t>
    </w:r>
    <w:r>
      <w:rPr>
        <w:rFonts w:ascii="Monotype Corsiva" w:hAnsi="Monotype Corsiva"/>
        <w:sz w:val="14"/>
        <w:szCs w:val="14"/>
        <w:lang w:val="sr-Latn-ME"/>
      </w:rPr>
      <w:t>____________________________</w:t>
    </w:r>
  </w:p>
  <w:p w:rsidR="009110D3" w:rsidRPr="005353D7" w:rsidRDefault="009110D3" w:rsidP="009110D3">
    <w:pPr>
      <w:pStyle w:val="Header"/>
      <w:jc w:val="center"/>
      <w:rPr>
        <w:rFonts w:ascii="Monotype Corsiva" w:hAnsi="Monotype Corsiva"/>
        <w:sz w:val="32"/>
        <w:szCs w:val="32"/>
        <w:lang w:val="sr-Latn-ME"/>
      </w:rPr>
    </w:pPr>
    <w:r w:rsidRPr="005353D7">
      <w:rPr>
        <w:rFonts w:ascii="Monotype Corsiva" w:hAnsi="Monotype Corsiva"/>
        <w:sz w:val="32"/>
        <w:szCs w:val="32"/>
        <w:lang w:val="sr-Latn-ME"/>
      </w:rPr>
      <w:t>Zavod za socijalnu i dječju zaštitu</w:t>
    </w:r>
  </w:p>
  <w:p w:rsidR="009110D3" w:rsidRDefault="009110D3" w:rsidP="009110D3">
    <w:pPr>
      <w:pStyle w:val="Header"/>
      <w:tabs>
        <w:tab w:val="clear" w:pos="4680"/>
        <w:tab w:val="clear" w:pos="9360"/>
        <w:tab w:val="left" w:pos="3751"/>
      </w:tabs>
    </w:pPr>
  </w:p>
  <w:p w:rsidR="009110D3" w:rsidRDefault="009110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0D3" w:rsidRDefault="009110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917E2"/>
    <w:multiLevelType w:val="hybridMultilevel"/>
    <w:tmpl w:val="B79E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B04888"/>
    <w:multiLevelType w:val="hybridMultilevel"/>
    <w:tmpl w:val="7B1C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2D5755"/>
    <w:multiLevelType w:val="hybridMultilevel"/>
    <w:tmpl w:val="3F7625BA"/>
    <w:lvl w:ilvl="0" w:tplc="BBDEA6E6">
      <w:numFmt w:val="bullet"/>
      <w:lvlText w:val="-"/>
      <w:lvlJc w:val="left"/>
      <w:pPr>
        <w:ind w:left="720" w:hanging="360"/>
      </w:pPr>
      <w:rPr>
        <w:rFonts w:ascii="Times New Roman" w:eastAsiaTheme="minorHAnsi"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nsid w:val="39B21024"/>
    <w:multiLevelType w:val="hybridMultilevel"/>
    <w:tmpl w:val="05DE8DDE"/>
    <w:lvl w:ilvl="0" w:tplc="8ED896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C647D9"/>
    <w:multiLevelType w:val="hybridMultilevel"/>
    <w:tmpl w:val="1AF2F998"/>
    <w:lvl w:ilvl="0" w:tplc="628ACD72">
      <w:start w:val="1"/>
      <w:numFmt w:val="decimal"/>
      <w:lvlText w:val="%1."/>
      <w:lvlJc w:val="left"/>
      <w:pPr>
        <w:ind w:left="1137" w:hanging="360"/>
      </w:pPr>
      <w:rPr>
        <w:rFonts w:hint="default"/>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5">
    <w:nsid w:val="57981981"/>
    <w:multiLevelType w:val="hybridMultilevel"/>
    <w:tmpl w:val="4FDACE7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nsid w:val="5CE50213"/>
    <w:multiLevelType w:val="hybridMultilevel"/>
    <w:tmpl w:val="646C051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69F7082B"/>
    <w:multiLevelType w:val="multilevel"/>
    <w:tmpl w:val="FB7C5E62"/>
    <w:lvl w:ilvl="0">
      <w:start w:val="1"/>
      <w:numFmt w:val="decimal"/>
      <w:lvlText w:val="%1."/>
      <w:lvlJc w:val="left"/>
      <w:pPr>
        <w:ind w:left="777" w:hanging="360"/>
      </w:pPr>
      <w:rPr>
        <w:b/>
      </w:rPr>
    </w:lvl>
    <w:lvl w:ilvl="1">
      <w:start w:val="1"/>
      <w:numFmt w:val="decimal"/>
      <w:isLgl/>
      <w:lvlText w:val="%1.%2."/>
      <w:lvlJc w:val="left"/>
      <w:pPr>
        <w:ind w:left="1211" w:hanging="360"/>
      </w:pPr>
      <w:rPr>
        <w:rFonts w:hint="default"/>
        <w:b/>
        <w:sz w:val="24"/>
        <w:szCs w:val="24"/>
      </w:rPr>
    </w:lvl>
    <w:lvl w:ilvl="2">
      <w:start w:val="1"/>
      <w:numFmt w:val="decimal"/>
      <w:isLgl/>
      <w:lvlText w:val="%1.%2.%3."/>
      <w:lvlJc w:val="left"/>
      <w:pPr>
        <w:ind w:left="1137" w:hanging="720"/>
      </w:pPr>
      <w:rPr>
        <w:rFonts w:hint="default"/>
      </w:rPr>
    </w:lvl>
    <w:lvl w:ilvl="3">
      <w:start w:val="1"/>
      <w:numFmt w:val="decimal"/>
      <w:isLgl/>
      <w:lvlText w:val="%1.%2.%3.%4."/>
      <w:lvlJc w:val="left"/>
      <w:pPr>
        <w:ind w:left="1137" w:hanging="720"/>
      </w:pPr>
      <w:rPr>
        <w:rFonts w:hint="default"/>
      </w:rPr>
    </w:lvl>
    <w:lvl w:ilvl="4">
      <w:start w:val="1"/>
      <w:numFmt w:val="decimal"/>
      <w:isLgl/>
      <w:lvlText w:val="%1.%2.%3.%4.%5."/>
      <w:lvlJc w:val="left"/>
      <w:pPr>
        <w:ind w:left="1497" w:hanging="1080"/>
      </w:pPr>
      <w:rPr>
        <w:rFonts w:hint="default"/>
      </w:rPr>
    </w:lvl>
    <w:lvl w:ilvl="5">
      <w:start w:val="1"/>
      <w:numFmt w:val="decimal"/>
      <w:isLgl/>
      <w:lvlText w:val="%1.%2.%3.%4.%5.%6."/>
      <w:lvlJc w:val="left"/>
      <w:pPr>
        <w:ind w:left="1497" w:hanging="1080"/>
      </w:pPr>
      <w:rPr>
        <w:rFonts w:hint="default"/>
      </w:rPr>
    </w:lvl>
    <w:lvl w:ilvl="6">
      <w:start w:val="1"/>
      <w:numFmt w:val="decimal"/>
      <w:isLgl/>
      <w:lvlText w:val="%1.%2.%3.%4.%5.%6.%7."/>
      <w:lvlJc w:val="left"/>
      <w:pPr>
        <w:ind w:left="1857" w:hanging="1440"/>
      </w:pPr>
      <w:rPr>
        <w:rFonts w:hint="default"/>
      </w:rPr>
    </w:lvl>
    <w:lvl w:ilvl="7">
      <w:start w:val="1"/>
      <w:numFmt w:val="decimal"/>
      <w:isLgl/>
      <w:lvlText w:val="%1.%2.%3.%4.%5.%6.%7.%8."/>
      <w:lvlJc w:val="left"/>
      <w:pPr>
        <w:ind w:left="1857" w:hanging="1440"/>
      </w:pPr>
      <w:rPr>
        <w:rFonts w:hint="default"/>
      </w:rPr>
    </w:lvl>
    <w:lvl w:ilvl="8">
      <w:start w:val="1"/>
      <w:numFmt w:val="decimal"/>
      <w:isLgl/>
      <w:lvlText w:val="%1.%2.%3.%4.%5.%6.%7.%8.%9."/>
      <w:lvlJc w:val="left"/>
      <w:pPr>
        <w:ind w:left="2217" w:hanging="1800"/>
      </w:pPr>
      <w:rPr>
        <w:rFonts w:hint="default"/>
      </w:rPr>
    </w:lvl>
  </w:abstractNum>
  <w:abstractNum w:abstractNumId="8">
    <w:nsid w:val="77FB38C2"/>
    <w:multiLevelType w:val="hybridMultilevel"/>
    <w:tmpl w:val="52FE5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9C5159"/>
    <w:multiLevelType w:val="hybridMultilevel"/>
    <w:tmpl w:val="0D42F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0"/>
  </w:num>
  <w:num w:numId="6">
    <w:abstractNumId w:val="9"/>
  </w:num>
  <w:num w:numId="7">
    <w:abstractNumId w:val="8"/>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4AD"/>
    <w:rsid w:val="00023137"/>
    <w:rsid w:val="00023862"/>
    <w:rsid w:val="0002585D"/>
    <w:rsid w:val="00036127"/>
    <w:rsid w:val="00061793"/>
    <w:rsid w:val="00071E51"/>
    <w:rsid w:val="000F7364"/>
    <w:rsid w:val="00126AA2"/>
    <w:rsid w:val="00131387"/>
    <w:rsid w:val="00144FF5"/>
    <w:rsid w:val="00164414"/>
    <w:rsid w:val="001658F0"/>
    <w:rsid w:val="00175D66"/>
    <w:rsid w:val="001B33F2"/>
    <w:rsid w:val="001B6D7D"/>
    <w:rsid w:val="001D2BC7"/>
    <w:rsid w:val="00203FBF"/>
    <w:rsid w:val="00211C36"/>
    <w:rsid w:val="0025237C"/>
    <w:rsid w:val="002609C4"/>
    <w:rsid w:val="002631E8"/>
    <w:rsid w:val="0026771C"/>
    <w:rsid w:val="00291595"/>
    <w:rsid w:val="002A5B64"/>
    <w:rsid w:val="002B3CED"/>
    <w:rsid w:val="002C24CF"/>
    <w:rsid w:val="002C56F3"/>
    <w:rsid w:val="002F2984"/>
    <w:rsid w:val="00301BE5"/>
    <w:rsid w:val="00313DF6"/>
    <w:rsid w:val="003151AC"/>
    <w:rsid w:val="003244AD"/>
    <w:rsid w:val="00334EBF"/>
    <w:rsid w:val="00344E2C"/>
    <w:rsid w:val="00390A5F"/>
    <w:rsid w:val="00395256"/>
    <w:rsid w:val="00412010"/>
    <w:rsid w:val="00414D75"/>
    <w:rsid w:val="00430421"/>
    <w:rsid w:val="0043178A"/>
    <w:rsid w:val="00433DA1"/>
    <w:rsid w:val="00472592"/>
    <w:rsid w:val="004835DC"/>
    <w:rsid w:val="00483AA2"/>
    <w:rsid w:val="004A7157"/>
    <w:rsid w:val="004B5B01"/>
    <w:rsid w:val="004C426B"/>
    <w:rsid w:val="004C755C"/>
    <w:rsid w:val="004D78E0"/>
    <w:rsid w:val="004E2BD3"/>
    <w:rsid w:val="004F5CCF"/>
    <w:rsid w:val="00501FEC"/>
    <w:rsid w:val="005156DA"/>
    <w:rsid w:val="00533628"/>
    <w:rsid w:val="00555167"/>
    <w:rsid w:val="00573382"/>
    <w:rsid w:val="005775FF"/>
    <w:rsid w:val="005B17ED"/>
    <w:rsid w:val="005B3197"/>
    <w:rsid w:val="005E619B"/>
    <w:rsid w:val="005F6967"/>
    <w:rsid w:val="0061525A"/>
    <w:rsid w:val="0061556B"/>
    <w:rsid w:val="00625E80"/>
    <w:rsid w:val="00633C0C"/>
    <w:rsid w:val="00636CFD"/>
    <w:rsid w:val="00643928"/>
    <w:rsid w:val="00677047"/>
    <w:rsid w:val="006A6DA1"/>
    <w:rsid w:val="006B7ADD"/>
    <w:rsid w:val="006C2F0D"/>
    <w:rsid w:val="00701A86"/>
    <w:rsid w:val="00717512"/>
    <w:rsid w:val="00771BDC"/>
    <w:rsid w:val="0079521B"/>
    <w:rsid w:val="007C03B3"/>
    <w:rsid w:val="007E63B6"/>
    <w:rsid w:val="0080796B"/>
    <w:rsid w:val="00846984"/>
    <w:rsid w:val="00852D7A"/>
    <w:rsid w:val="00866920"/>
    <w:rsid w:val="00882C6A"/>
    <w:rsid w:val="00892A3B"/>
    <w:rsid w:val="00893574"/>
    <w:rsid w:val="008B2547"/>
    <w:rsid w:val="008B3241"/>
    <w:rsid w:val="008D2C12"/>
    <w:rsid w:val="008D3F4B"/>
    <w:rsid w:val="008E36A2"/>
    <w:rsid w:val="008F66D5"/>
    <w:rsid w:val="00900458"/>
    <w:rsid w:val="009018A1"/>
    <w:rsid w:val="00902844"/>
    <w:rsid w:val="00907FC1"/>
    <w:rsid w:val="009110D3"/>
    <w:rsid w:val="0091408A"/>
    <w:rsid w:val="009164DA"/>
    <w:rsid w:val="00926D76"/>
    <w:rsid w:val="00936235"/>
    <w:rsid w:val="009422DC"/>
    <w:rsid w:val="009503AB"/>
    <w:rsid w:val="009A5848"/>
    <w:rsid w:val="009A7AF3"/>
    <w:rsid w:val="009C48FA"/>
    <w:rsid w:val="009C735A"/>
    <w:rsid w:val="009D61E0"/>
    <w:rsid w:val="00A01070"/>
    <w:rsid w:val="00A40666"/>
    <w:rsid w:val="00A77423"/>
    <w:rsid w:val="00A81C8C"/>
    <w:rsid w:val="00AA52EB"/>
    <w:rsid w:val="00AB187B"/>
    <w:rsid w:val="00AC5D9D"/>
    <w:rsid w:val="00AD6CE5"/>
    <w:rsid w:val="00AD7917"/>
    <w:rsid w:val="00B04D5E"/>
    <w:rsid w:val="00B6787F"/>
    <w:rsid w:val="00B70CF2"/>
    <w:rsid w:val="00B7673A"/>
    <w:rsid w:val="00B80B5E"/>
    <w:rsid w:val="00B84140"/>
    <w:rsid w:val="00B96A34"/>
    <w:rsid w:val="00BB3AE2"/>
    <w:rsid w:val="00BB6393"/>
    <w:rsid w:val="00BC7D5D"/>
    <w:rsid w:val="00BD45A5"/>
    <w:rsid w:val="00BF1413"/>
    <w:rsid w:val="00BF5744"/>
    <w:rsid w:val="00C065CB"/>
    <w:rsid w:val="00C21FBC"/>
    <w:rsid w:val="00C23CAE"/>
    <w:rsid w:val="00C33B34"/>
    <w:rsid w:val="00C4703F"/>
    <w:rsid w:val="00C47FBA"/>
    <w:rsid w:val="00C71BC8"/>
    <w:rsid w:val="00C835A1"/>
    <w:rsid w:val="00C84B10"/>
    <w:rsid w:val="00C84E08"/>
    <w:rsid w:val="00C86B41"/>
    <w:rsid w:val="00C97B64"/>
    <w:rsid w:val="00CF5271"/>
    <w:rsid w:val="00D062FE"/>
    <w:rsid w:val="00D21AA5"/>
    <w:rsid w:val="00D434A6"/>
    <w:rsid w:val="00D512D6"/>
    <w:rsid w:val="00D51483"/>
    <w:rsid w:val="00D67412"/>
    <w:rsid w:val="00D75757"/>
    <w:rsid w:val="00D96C7A"/>
    <w:rsid w:val="00DB6469"/>
    <w:rsid w:val="00DC5D2E"/>
    <w:rsid w:val="00DF4F5B"/>
    <w:rsid w:val="00DF6F3F"/>
    <w:rsid w:val="00DF7C5A"/>
    <w:rsid w:val="00E04E4B"/>
    <w:rsid w:val="00E12D79"/>
    <w:rsid w:val="00E203CD"/>
    <w:rsid w:val="00E33C50"/>
    <w:rsid w:val="00E366D3"/>
    <w:rsid w:val="00E43163"/>
    <w:rsid w:val="00E56A51"/>
    <w:rsid w:val="00E5735E"/>
    <w:rsid w:val="00E64E30"/>
    <w:rsid w:val="00E75378"/>
    <w:rsid w:val="00E75A6A"/>
    <w:rsid w:val="00E811AF"/>
    <w:rsid w:val="00EB313F"/>
    <w:rsid w:val="00EC0656"/>
    <w:rsid w:val="00EC35BC"/>
    <w:rsid w:val="00EE6AAA"/>
    <w:rsid w:val="00EF6724"/>
    <w:rsid w:val="00F12631"/>
    <w:rsid w:val="00F21C31"/>
    <w:rsid w:val="00F33D1B"/>
    <w:rsid w:val="00F3568A"/>
    <w:rsid w:val="00F427C2"/>
    <w:rsid w:val="00F4438B"/>
    <w:rsid w:val="00F57034"/>
    <w:rsid w:val="00F93DC0"/>
    <w:rsid w:val="00FA62DB"/>
    <w:rsid w:val="00FA6F33"/>
    <w:rsid w:val="00FB3461"/>
    <w:rsid w:val="00FC041A"/>
    <w:rsid w:val="00FD4ED2"/>
    <w:rsid w:val="00FD754C"/>
    <w:rsid w:val="00FE1332"/>
    <w:rsid w:val="00FE3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44AD"/>
    <w:pPr>
      <w:tabs>
        <w:tab w:val="center" w:pos="4680"/>
        <w:tab w:val="right" w:pos="9360"/>
      </w:tabs>
      <w:spacing w:after="0" w:line="240" w:lineRule="auto"/>
    </w:pPr>
  </w:style>
  <w:style w:type="character" w:customStyle="1" w:styleId="HeaderChar">
    <w:name w:val="Header Char"/>
    <w:basedOn w:val="DefaultParagraphFont"/>
    <w:link w:val="Header"/>
    <w:rsid w:val="003244AD"/>
  </w:style>
  <w:style w:type="paragraph" w:styleId="Footer">
    <w:name w:val="footer"/>
    <w:basedOn w:val="Normal"/>
    <w:link w:val="FooterChar"/>
    <w:uiPriority w:val="99"/>
    <w:unhideWhenUsed/>
    <w:rsid w:val="00324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4AD"/>
  </w:style>
  <w:style w:type="paragraph" w:styleId="BalloonText">
    <w:name w:val="Balloon Text"/>
    <w:basedOn w:val="Normal"/>
    <w:link w:val="BalloonTextChar"/>
    <w:uiPriority w:val="99"/>
    <w:semiHidden/>
    <w:unhideWhenUsed/>
    <w:rsid w:val="00324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4AD"/>
    <w:rPr>
      <w:rFonts w:ascii="Tahoma" w:hAnsi="Tahoma" w:cs="Tahoma"/>
      <w:sz w:val="16"/>
      <w:szCs w:val="16"/>
    </w:rPr>
  </w:style>
  <w:style w:type="character" w:styleId="Hyperlink">
    <w:name w:val="Hyperlink"/>
    <w:basedOn w:val="DefaultParagraphFont"/>
    <w:uiPriority w:val="99"/>
    <w:unhideWhenUsed/>
    <w:rsid w:val="00164414"/>
    <w:rPr>
      <w:color w:val="0000FF" w:themeColor="hyperlink"/>
      <w:u w:val="single"/>
    </w:rPr>
  </w:style>
  <w:style w:type="table" w:styleId="TableGrid">
    <w:name w:val="Table Grid"/>
    <w:basedOn w:val="TableNormal"/>
    <w:uiPriority w:val="59"/>
    <w:rsid w:val="00313DF6"/>
    <w:pPr>
      <w:spacing w:after="0" w:line="240" w:lineRule="auto"/>
    </w:pPr>
    <w:rPr>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10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44AD"/>
    <w:pPr>
      <w:tabs>
        <w:tab w:val="center" w:pos="4680"/>
        <w:tab w:val="right" w:pos="9360"/>
      </w:tabs>
      <w:spacing w:after="0" w:line="240" w:lineRule="auto"/>
    </w:pPr>
  </w:style>
  <w:style w:type="character" w:customStyle="1" w:styleId="HeaderChar">
    <w:name w:val="Header Char"/>
    <w:basedOn w:val="DefaultParagraphFont"/>
    <w:link w:val="Header"/>
    <w:rsid w:val="003244AD"/>
  </w:style>
  <w:style w:type="paragraph" w:styleId="Footer">
    <w:name w:val="footer"/>
    <w:basedOn w:val="Normal"/>
    <w:link w:val="FooterChar"/>
    <w:uiPriority w:val="99"/>
    <w:unhideWhenUsed/>
    <w:rsid w:val="00324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4AD"/>
  </w:style>
  <w:style w:type="paragraph" w:styleId="BalloonText">
    <w:name w:val="Balloon Text"/>
    <w:basedOn w:val="Normal"/>
    <w:link w:val="BalloonTextChar"/>
    <w:uiPriority w:val="99"/>
    <w:semiHidden/>
    <w:unhideWhenUsed/>
    <w:rsid w:val="00324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4AD"/>
    <w:rPr>
      <w:rFonts w:ascii="Tahoma" w:hAnsi="Tahoma" w:cs="Tahoma"/>
      <w:sz w:val="16"/>
      <w:szCs w:val="16"/>
    </w:rPr>
  </w:style>
  <w:style w:type="character" w:styleId="Hyperlink">
    <w:name w:val="Hyperlink"/>
    <w:basedOn w:val="DefaultParagraphFont"/>
    <w:uiPriority w:val="99"/>
    <w:unhideWhenUsed/>
    <w:rsid w:val="00164414"/>
    <w:rPr>
      <w:color w:val="0000FF" w:themeColor="hyperlink"/>
      <w:u w:val="single"/>
    </w:rPr>
  </w:style>
  <w:style w:type="table" w:styleId="TableGrid">
    <w:name w:val="Table Grid"/>
    <w:basedOn w:val="TableNormal"/>
    <w:uiPriority w:val="59"/>
    <w:rsid w:val="00313DF6"/>
    <w:pPr>
      <w:spacing w:after="0" w:line="240" w:lineRule="auto"/>
    </w:pPr>
    <w:rPr>
      <w:lang w:val="sr-Latn-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10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sr-Latn-ME" sz="1200">
                <a:latin typeface="Times New Roman" pitchFamily="18" charset="0"/>
                <a:cs typeface="Times New Roman" pitchFamily="18" charset="0"/>
              </a:rPr>
              <a:t>Struktura</a:t>
            </a:r>
            <a:r>
              <a:rPr lang="sr-Latn-ME" sz="1200" baseline="0">
                <a:latin typeface="Times New Roman" pitchFamily="18" charset="0"/>
                <a:cs typeface="Times New Roman" pitchFamily="18" charset="0"/>
              </a:rPr>
              <a:t> korisnika osnovnih materijalnih davanja u socijalnoj zaštiti</a:t>
            </a:r>
            <a:endParaRPr lang="en-US" sz="1200">
              <a:latin typeface="Times New Roman" pitchFamily="18" charset="0"/>
              <a:cs typeface="Times New Roman" pitchFamily="18" charset="0"/>
            </a:endParaRPr>
          </a:p>
        </c:rich>
      </c:tx>
      <c:overlay val="0"/>
    </c:title>
    <c:autoTitleDeleted val="0"/>
    <c:plotArea>
      <c:layout/>
      <c:pieChart>
        <c:varyColors val="1"/>
        <c:ser>
          <c:idx val="0"/>
          <c:order val="0"/>
          <c:tx>
            <c:strRef>
              <c:f>Sheet4!$B$1</c:f>
              <c:strCache>
                <c:ptCount val="1"/>
                <c:pt idx="0">
                  <c:v>Broj korisnika</c:v>
                </c:pt>
              </c:strCache>
            </c:strRef>
          </c:tx>
          <c:dLbls>
            <c:showLegendKey val="0"/>
            <c:showVal val="0"/>
            <c:showCatName val="0"/>
            <c:showSerName val="0"/>
            <c:showPercent val="1"/>
            <c:showBubbleSize val="0"/>
            <c:showLeaderLines val="1"/>
          </c:dLbls>
          <c:cat>
            <c:strRef>
              <c:f>Sheet4!$A$2:$A$8</c:f>
              <c:strCache>
                <c:ptCount val="7"/>
                <c:pt idx="0">
                  <c:v>Materijalno obezbjeđenje</c:v>
                </c:pt>
                <c:pt idx="1">
                  <c:v>Lična invalidnina</c:v>
                </c:pt>
                <c:pt idx="2">
                  <c:v>Dodatak za njegu i pomoć</c:v>
                </c:pt>
                <c:pt idx="3">
                  <c:v>Zdravstvena zaštita</c:v>
                </c:pt>
                <c:pt idx="4">
                  <c:v>Troškovi sahrane</c:v>
                </c:pt>
                <c:pt idx="5">
                  <c:v>Jednokratna novčana pomoć</c:v>
                </c:pt>
                <c:pt idx="6">
                  <c:v>Naknada roditelju ili staratelju korisnika prava na LI</c:v>
                </c:pt>
              </c:strCache>
            </c:strRef>
          </c:cat>
          <c:val>
            <c:numRef>
              <c:f>Sheet4!$B$2:$B$8</c:f>
              <c:numCache>
                <c:formatCode>General</c:formatCode>
                <c:ptCount val="7"/>
                <c:pt idx="0">
                  <c:v>31066</c:v>
                </c:pt>
                <c:pt idx="1">
                  <c:v>2499</c:v>
                </c:pt>
                <c:pt idx="2">
                  <c:v>15405</c:v>
                </c:pt>
                <c:pt idx="3">
                  <c:v>1317</c:v>
                </c:pt>
                <c:pt idx="4">
                  <c:v>573</c:v>
                </c:pt>
                <c:pt idx="5">
                  <c:v>5140</c:v>
                </c:pt>
                <c:pt idx="6">
                  <c:v>2042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'Materijalna davanja'!$O$129</c:f>
              <c:strCache>
                <c:ptCount val="1"/>
                <c:pt idx="0">
                  <c:v>Muškarci</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'Materijalna davanja'!$N$130:$N$133</c:f>
              <c:strCache>
                <c:ptCount val="4"/>
                <c:pt idx="0">
                  <c:v>Djeca</c:v>
                </c:pt>
                <c:pt idx="1">
                  <c:v>Mladi</c:v>
                </c:pt>
                <c:pt idx="2">
                  <c:v>Odrasli</c:v>
                </c:pt>
                <c:pt idx="3">
                  <c:v>Stariji</c:v>
                </c:pt>
              </c:strCache>
            </c:strRef>
          </c:cat>
          <c:val>
            <c:numRef>
              <c:f>'Materijalna davanja'!$O$130:$O$133</c:f>
              <c:numCache>
                <c:formatCode>0%</c:formatCode>
                <c:ptCount val="4"/>
                <c:pt idx="0">
                  <c:v>0.69259999999999999</c:v>
                </c:pt>
                <c:pt idx="1">
                  <c:v>0.47789999999999999</c:v>
                </c:pt>
                <c:pt idx="2">
                  <c:v>0.46250000000000002</c:v>
                </c:pt>
                <c:pt idx="3">
                  <c:v>0.43180000000000002</c:v>
                </c:pt>
              </c:numCache>
            </c:numRef>
          </c:val>
        </c:ser>
        <c:ser>
          <c:idx val="1"/>
          <c:order val="1"/>
          <c:tx>
            <c:strRef>
              <c:f>'Materijalna davanja'!$P$129</c:f>
              <c:strCache>
                <c:ptCount val="1"/>
                <c:pt idx="0">
                  <c:v>Žene</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'Materijalna davanja'!$N$130:$N$133</c:f>
              <c:strCache>
                <c:ptCount val="4"/>
                <c:pt idx="0">
                  <c:v>Djeca</c:v>
                </c:pt>
                <c:pt idx="1">
                  <c:v>Mladi</c:v>
                </c:pt>
                <c:pt idx="2">
                  <c:v>Odrasli</c:v>
                </c:pt>
                <c:pt idx="3">
                  <c:v>Stariji</c:v>
                </c:pt>
              </c:strCache>
            </c:strRef>
          </c:cat>
          <c:val>
            <c:numRef>
              <c:f>'Materijalna davanja'!$P$130:$P$133</c:f>
              <c:numCache>
                <c:formatCode>0%</c:formatCode>
                <c:ptCount val="4"/>
                <c:pt idx="0">
                  <c:v>0.30740000000000001</c:v>
                </c:pt>
                <c:pt idx="1">
                  <c:v>0.52210000000000001</c:v>
                </c:pt>
                <c:pt idx="2">
                  <c:v>0.53749999999999998</c:v>
                </c:pt>
                <c:pt idx="3">
                  <c:v>0.56820000000000004</c:v>
                </c:pt>
              </c:numCache>
            </c:numRef>
          </c:val>
        </c:ser>
        <c:dLbls>
          <c:showLegendKey val="0"/>
          <c:showVal val="0"/>
          <c:showCatName val="0"/>
          <c:showSerName val="0"/>
          <c:showPercent val="0"/>
          <c:showBubbleSize val="0"/>
        </c:dLbls>
        <c:gapWidth val="150"/>
        <c:shape val="box"/>
        <c:axId val="147777408"/>
        <c:axId val="147778944"/>
        <c:axId val="0"/>
      </c:bar3DChart>
      <c:catAx>
        <c:axId val="14777740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en-US"/>
          </a:p>
        </c:txPr>
        <c:crossAx val="147778944"/>
        <c:crosses val="autoZero"/>
        <c:auto val="1"/>
        <c:lblAlgn val="ctr"/>
        <c:lblOffset val="100"/>
        <c:noMultiLvlLbl val="0"/>
      </c:catAx>
      <c:valAx>
        <c:axId val="147778944"/>
        <c:scaling>
          <c:orientation val="minMax"/>
        </c:scaling>
        <c:delete val="0"/>
        <c:axPos val="l"/>
        <c:majorGridlines/>
        <c:numFmt formatCode="0%" sourceLinked="1"/>
        <c:majorTickMark val="out"/>
        <c:minorTickMark val="none"/>
        <c:tickLblPos val="nextTo"/>
        <c:crossAx val="14777740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sr-Latn-ME" sz="1200">
                <a:latin typeface="Times New Roman" pitchFamily="18" charset="0"/>
                <a:cs typeface="Times New Roman" pitchFamily="18" charset="0"/>
              </a:rPr>
              <a:t>Struktura</a:t>
            </a:r>
            <a:r>
              <a:rPr lang="sr-Latn-ME" sz="1200" baseline="0">
                <a:latin typeface="Times New Roman" pitchFamily="18" charset="0"/>
                <a:cs typeface="Times New Roman" pitchFamily="18" charset="0"/>
              </a:rPr>
              <a:t> korisnika  osnovnih materijalnih davanja iz dječje zaštite u 2018. godini</a:t>
            </a:r>
            <a:endParaRPr lang="en-US" sz="1200">
              <a:latin typeface="Times New Roman" pitchFamily="18" charset="0"/>
              <a:cs typeface="Times New Roman" pitchFamily="18" charset="0"/>
            </a:endParaRPr>
          </a:p>
        </c:rich>
      </c:tx>
      <c:overlay val="1"/>
    </c:title>
    <c:autoTitleDeleted val="0"/>
    <c:plotArea>
      <c:layout/>
      <c:pieChart>
        <c:varyColors val="1"/>
        <c:ser>
          <c:idx val="0"/>
          <c:order val="0"/>
          <c:tx>
            <c:strRef>
              <c:f>Sheet1!$B$1</c:f>
              <c:strCache>
                <c:ptCount val="1"/>
                <c:pt idx="0">
                  <c:v>Broj korisnika</c:v>
                </c:pt>
              </c:strCache>
            </c:strRef>
          </c:tx>
          <c:dLbls>
            <c:showLegendKey val="0"/>
            <c:showVal val="0"/>
            <c:showCatName val="0"/>
            <c:showSerName val="0"/>
            <c:showPercent val="1"/>
            <c:showBubbleSize val="0"/>
            <c:showLeaderLines val="1"/>
          </c:dLbls>
          <c:cat>
            <c:strRef>
              <c:f>Sheet1!$A$2:$A$8</c:f>
              <c:strCache>
                <c:ptCount val="7"/>
                <c:pt idx="0">
                  <c:v>Naknada za novorođeno dijete</c:v>
                </c:pt>
                <c:pt idx="1">
                  <c:v>Dodatak za djecu</c:v>
                </c:pt>
                <c:pt idx="2">
                  <c:v>Troškovi ishrane u predškolskim ustanovama</c:v>
                </c:pt>
                <c:pt idx="3">
                  <c:v>Pomoć za vaspitanje i obrazovanje djece i mladih sa posebnim obrazovnim potrebama</c:v>
                </c:pt>
                <c:pt idx="4">
                  <c:v>Refundacija naknade zarade i naknada zarade za porodiljsko, odnosno roditeljsko odsustvo </c:v>
                </c:pt>
                <c:pt idx="5">
                  <c:v>Naknada po osnovu rođenja djeteta</c:v>
                </c:pt>
                <c:pt idx="6">
                  <c:v>Refundacija naknade zarade i naknada zarade za rad sa polovinom punog radnog vremena</c:v>
                </c:pt>
              </c:strCache>
            </c:strRef>
          </c:cat>
          <c:val>
            <c:numRef>
              <c:f>Sheet1!$B$2:$B$8</c:f>
              <c:numCache>
                <c:formatCode>General</c:formatCode>
                <c:ptCount val="7"/>
                <c:pt idx="0">
                  <c:v>6510</c:v>
                </c:pt>
                <c:pt idx="1">
                  <c:v>14974</c:v>
                </c:pt>
                <c:pt idx="2">
                  <c:v>2742</c:v>
                </c:pt>
                <c:pt idx="3">
                  <c:v>263</c:v>
                </c:pt>
                <c:pt idx="4">
                  <c:v>6196</c:v>
                </c:pt>
                <c:pt idx="5">
                  <c:v>3515</c:v>
                </c:pt>
                <c:pt idx="6">
                  <c:v>140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916666666666666"/>
          <c:y val="0.14594272008947476"/>
          <c:w val="0.34166666666666667"/>
          <c:h val="0.67684222148209672"/>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sr-Latn-ME" sz="1200">
                <a:latin typeface="Times New Roman" pitchFamily="18" charset="0"/>
                <a:cs typeface="Times New Roman" pitchFamily="18" charset="0"/>
              </a:rPr>
              <a:t>Broj korisnika osnovnih materijalnih davanja iz dječje</a:t>
            </a:r>
            <a:r>
              <a:rPr lang="sr-Latn-ME" sz="1200" baseline="0">
                <a:latin typeface="Times New Roman" pitchFamily="18" charset="0"/>
                <a:cs typeface="Times New Roman" pitchFamily="18" charset="0"/>
              </a:rPr>
              <a:t> zaštite</a:t>
            </a:r>
            <a:endParaRPr lang="sr-Latn-ME" sz="1200">
              <a:latin typeface="Times New Roman" pitchFamily="18" charset="0"/>
              <a:cs typeface="Times New Roman" pitchFamily="18" charset="0"/>
            </a:endParaRPr>
          </a:p>
        </c:rich>
      </c:tx>
      <c:layout>
        <c:manualLayout>
          <c:xMode val="edge"/>
          <c:yMode val="edge"/>
          <c:x val="9.9534776902887145E-2"/>
          <c:y val="2.2865617397629441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'Materijalna dav rezime'!$O$99:$O$101</c:f>
              <c:strCache>
                <c:ptCount val="1"/>
                <c:pt idx="0">
                  <c:v>DJEČJA ZAŠTITA broj korisnika za 2017. god.</c:v>
                </c:pt>
              </c:strCache>
            </c:strRef>
          </c:tx>
          <c:invertIfNegative val="0"/>
          <c:cat>
            <c:strRef>
              <c:f>'Materijalna dav rezime'!$N$102:$N$107</c:f>
              <c:strCache>
                <c:ptCount val="6"/>
                <c:pt idx="0">
                  <c:v>naknada za novor. dijete</c:v>
                </c:pt>
                <c:pt idx="1">
                  <c:v>dodatak za djecu</c:v>
                </c:pt>
                <c:pt idx="2">
                  <c:v>troškovi ishrane u JPU</c:v>
                </c:pt>
                <c:pt idx="3">
                  <c:v>pomoć za vasp. i obr. djece POP</c:v>
                </c:pt>
                <c:pt idx="4">
                  <c:v>refundacija naknade zarade za porod., odn rod. odsustvo</c:v>
                </c:pt>
                <c:pt idx="5">
                  <c:v>naknada po osnovu rođenja djeteta</c:v>
                </c:pt>
              </c:strCache>
            </c:strRef>
          </c:cat>
          <c:val>
            <c:numRef>
              <c:f>'Materijalna dav rezime'!$O$102:$O$107</c:f>
              <c:numCache>
                <c:formatCode>General</c:formatCode>
                <c:ptCount val="6"/>
                <c:pt idx="0">
                  <c:v>4434</c:v>
                </c:pt>
                <c:pt idx="1">
                  <c:v>11181</c:v>
                </c:pt>
                <c:pt idx="2">
                  <c:v>3151</c:v>
                </c:pt>
                <c:pt idx="3">
                  <c:v>378</c:v>
                </c:pt>
                <c:pt idx="4">
                  <c:v>2513</c:v>
                </c:pt>
                <c:pt idx="5">
                  <c:v>4157</c:v>
                </c:pt>
              </c:numCache>
            </c:numRef>
          </c:val>
        </c:ser>
        <c:ser>
          <c:idx val="1"/>
          <c:order val="1"/>
          <c:tx>
            <c:strRef>
              <c:f>'Materijalna dav rezime'!$P$99:$P$101</c:f>
              <c:strCache>
                <c:ptCount val="1"/>
                <c:pt idx="0">
                  <c:v>DJEČJA ZAŠTITA broj korisnika za 2018. god.</c:v>
                </c:pt>
              </c:strCache>
            </c:strRef>
          </c:tx>
          <c:invertIfNegative val="0"/>
          <c:cat>
            <c:strRef>
              <c:f>'Materijalna dav rezime'!$N$102:$N$107</c:f>
              <c:strCache>
                <c:ptCount val="6"/>
                <c:pt idx="0">
                  <c:v>naknada za novor. dijete</c:v>
                </c:pt>
                <c:pt idx="1">
                  <c:v>dodatak za djecu</c:v>
                </c:pt>
                <c:pt idx="2">
                  <c:v>troškovi ishrane u JPU</c:v>
                </c:pt>
                <c:pt idx="3">
                  <c:v>pomoć za vasp. i obr. djece POP</c:v>
                </c:pt>
                <c:pt idx="4">
                  <c:v>refundacija naknade zarade za porod., odn rod. odsustvo</c:v>
                </c:pt>
                <c:pt idx="5">
                  <c:v>naknada po osnovu rođenja djeteta</c:v>
                </c:pt>
              </c:strCache>
            </c:strRef>
          </c:cat>
          <c:val>
            <c:numRef>
              <c:f>'Materijalna dav rezime'!$P$102:$P$107</c:f>
              <c:numCache>
                <c:formatCode>General</c:formatCode>
                <c:ptCount val="6"/>
                <c:pt idx="0">
                  <c:v>6510</c:v>
                </c:pt>
                <c:pt idx="1">
                  <c:v>14974</c:v>
                </c:pt>
                <c:pt idx="2">
                  <c:v>2742</c:v>
                </c:pt>
                <c:pt idx="3">
                  <c:v>263</c:v>
                </c:pt>
                <c:pt idx="4">
                  <c:v>6196</c:v>
                </c:pt>
                <c:pt idx="5">
                  <c:v>3515</c:v>
                </c:pt>
              </c:numCache>
            </c:numRef>
          </c:val>
        </c:ser>
        <c:dLbls>
          <c:showLegendKey val="0"/>
          <c:showVal val="0"/>
          <c:showCatName val="0"/>
          <c:showSerName val="0"/>
          <c:showPercent val="0"/>
          <c:showBubbleSize val="0"/>
        </c:dLbls>
        <c:gapWidth val="150"/>
        <c:shape val="cylinder"/>
        <c:axId val="148864000"/>
        <c:axId val="148906752"/>
        <c:axId val="0"/>
      </c:bar3DChart>
      <c:catAx>
        <c:axId val="14886400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en-US"/>
          </a:p>
        </c:txPr>
        <c:crossAx val="148906752"/>
        <c:crosses val="autoZero"/>
        <c:auto val="1"/>
        <c:lblAlgn val="ctr"/>
        <c:lblOffset val="100"/>
        <c:noMultiLvlLbl val="0"/>
      </c:catAx>
      <c:valAx>
        <c:axId val="14890675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4886400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DD!$B$52</c:f>
              <c:strCache>
                <c:ptCount val="1"/>
                <c:pt idx="0">
                  <c:v>Prosječan broj nosilaca prava</c:v>
                </c:pt>
              </c:strCache>
            </c:strRef>
          </c:tx>
          <c:cat>
            <c:strRef>
              <c:f>DD!$A$53:$A$64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DD!$B$53:$B$64</c:f>
              <c:numCache>
                <c:formatCode>General</c:formatCode>
                <c:ptCount val="12"/>
                <c:pt idx="0">
                  <c:v>568</c:v>
                </c:pt>
                <c:pt idx="1">
                  <c:v>574</c:v>
                </c:pt>
                <c:pt idx="2">
                  <c:v>583</c:v>
                </c:pt>
                <c:pt idx="3">
                  <c:v>589</c:v>
                </c:pt>
                <c:pt idx="4">
                  <c:v>595</c:v>
                </c:pt>
                <c:pt idx="5">
                  <c:v>594</c:v>
                </c:pt>
                <c:pt idx="6">
                  <c:v>593</c:v>
                </c:pt>
                <c:pt idx="7">
                  <c:v>596</c:v>
                </c:pt>
                <c:pt idx="8">
                  <c:v>592</c:v>
                </c:pt>
                <c:pt idx="9">
                  <c:v>589</c:v>
                </c:pt>
                <c:pt idx="10">
                  <c:v>581</c:v>
                </c:pt>
                <c:pt idx="11">
                  <c:v>581</c:v>
                </c:pt>
              </c:numCache>
            </c:numRef>
          </c:val>
          <c:smooth val="0"/>
        </c:ser>
        <c:ser>
          <c:idx val="1"/>
          <c:order val="1"/>
          <c:tx>
            <c:strRef>
              <c:f>DD!$C$52</c:f>
              <c:strCache>
                <c:ptCount val="1"/>
                <c:pt idx="0">
                  <c:v>Prosječan broj djece </c:v>
                </c:pt>
              </c:strCache>
            </c:strRef>
          </c:tx>
          <c:cat>
            <c:strRef>
              <c:f>DD!$A$53:$A$64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DD!$C$53:$C$64</c:f>
              <c:numCache>
                <c:formatCode>General</c:formatCode>
                <c:ptCount val="12"/>
                <c:pt idx="0">
                  <c:v>1112</c:v>
                </c:pt>
                <c:pt idx="1">
                  <c:v>1124</c:v>
                </c:pt>
                <c:pt idx="2">
                  <c:v>1142</c:v>
                </c:pt>
                <c:pt idx="3">
                  <c:v>1156</c:v>
                </c:pt>
                <c:pt idx="4">
                  <c:v>1170</c:v>
                </c:pt>
                <c:pt idx="5">
                  <c:v>1168</c:v>
                </c:pt>
                <c:pt idx="6">
                  <c:v>1167</c:v>
                </c:pt>
                <c:pt idx="7">
                  <c:v>1173</c:v>
                </c:pt>
                <c:pt idx="8">
                  <c:v>1166</c:v>
                </c:pt>
                <c:pt idx="9">
                  <c:v>1159</c:v>
                </c:pt>
                <c:pt idx="10">
                  <c:v>1144</c:v>
                </c:pt>
                <c:pt idx="11">
                  <c:v>1143</c:v>
                </c:pt>
              </c:numCache>
            </c:numRef>
          </c:val>
          <c:smooth val="0"/>
        </c:ser>
        <c:dLbls>
          <c:showLegendKey val="0"/>
          <c:showVal val="0"/>
          <c:showCatName val="0"/>
          <c:showSerName val="0"/>
          <c:showPercent val="0"/>
          <c:showBubbleSize val="0"/>
        </c:dLbls>
        <c:marker val="1"/>
        <c:smooth val="0"/>
        <c:axId val="148932096"/>
        <c:axId val="148933632"/>
      </c:lineChart>
      <c:catAx>
        <c:axId val="148932096"/>
        <c:scaling>
          <c:orientation val="minMax"/>
        </c:scaling>
        <c:delete val="0"/>
        <c:axPos val="b"/>
        <c:majorTickMark val="out"/>
        <c:minorTickMark val="none"/>
        <c:tickLblPos val="nextTo"/>
        <c:crossAx val="148933632"/>
        <c:crosses val="autoZero"/>
        <c:auto val="1"/>
        <c:lblAlgn val="ctr"/>
        <c:lblOffset val="100"/>
        <c:noMultiLvlLbl val="0"/>
      </c:catAx>
      <c:valAx>
        <c:axId val="148933632"/>
        <c:scaling>
          <c:orientation val="minMax"/>
        </c:scaling>
        <c:delete val="0"/>
        <c:axPos val="l"/>
        <c:majorGridlines/>
        <c:numFmt formatCode="General" sourceLinked="1"/>
        <c:majorTickMark val="out"/>
        <c:minorTickMark val="none"/>
        <c:tickLblPos val="nextTo"/>
        <c:crossAx val="148932096"/>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DD!$B$67</c:f>
              <c:strCache>
                <c:ptCount val="1"/>
                <c:pt idx="0">
                  <c:v>Prosječan broj nosilaca prava za 2018. godinu</c:v>
                </c:pt>
              </c:strCache>
            </c:strRef>
          </c:tx>
          <c:invertIfNegative val="0"/>
          <c:cat>
            <c:strRef>
              <c:f>DD!$A$68:$A$80</c:f>
              <c:strCache>
                <c:ptCount val="13"/>
                <c:pt idx="0">
                  <c:v>Podgorica</c:v>
                </c:pt>
                <c:pt idx="1">
                  <c:v>Danilovgrad</c:v>
                </c:pt>
                <c:pt idx="2">
                  <c:v>Cetinje</c:v>
                </c:pt>
                <c:pt idx="3">
                  <c:v>Nikšić</c:v>
                </c:pt>
                <c:pt idx="4">
                  <c:v>Bar</c:v>
                </c:pt>
                <c:pt idx="5">
                  <c:v>Kotor</c:v>
                </c:pt>
                <c:pt idx="6">
                  <c:v>Herceg Novi</c:v>
                </c:pt>
                <c:pt idx="7">
                  <c:v>Berane</c:v>
                </c:pt>
                <c:pt idx="8">
                  <c:v>Plav</c:v>
                </c:pt>
                <c:pt idx="9">
                  <c:v>Rožaje</c:v>
                </c:pt>
                <c:pt idx="10">
                  <c:v>Bijelo Polje</c:v>
                </c:pt>
                <c:pt idx="11">
                  <c:v>Mojkovac</c:v>
                </c:pt>
                <c:pt idx="12">
                  <c:v>Pljevlja</c:v>
                </c:pt>
              </c:strCache>
            </c:strRef>
          </c:cat>
          <c:val>
            <c:numRef>
              <c:f>DD!$B$68:$B$80</c:f>
              <c:numCache>
                <c:formatCode>General</c:formatCode>
                <c:ptCount val="13"/>
                <c:pt idx="0">
                  <c:v>1821</c:v>
                </c:pt>
                <c:pt idx="1">
                  <c:v>135</c:v>
                </c:pt>
                <c:pt idx="2">
                  <c:v>165</c:v>
                </c:pt>
                <c:pt idx="3">
                  <c:v>1181</c:v>
                </c:pt>
                <c:pt idx="4">
                  <c:v>532</c:v>
                </c:pt>
                <c:pt idx="5">
                  <c:v>146</c:v>
                </c:pt>
                <c:pt idx="6">
                  <c:v>71</c:v>
                </c:pt>
                <c:pt idx="7">
                  <c:v>910</c:v>
                </c:pt>
                <c:pt idx="8">
                  <c:v>349</c:v>
                </c:pt>
                <c:pt idx="9">
                  <c:v>1120</c:v>
                </c:pt>
                <c:pt idx="10">
                  <c:v>639</c:v>
                </c:pt>
                <c:pt idx="11">
                  <c:v>213</c:v>
                </c:pt>
                <c:pt idx="12">
                  <c:v>340</c:v>
                </c:pt>
              </c:numCache>
            </c:numRef>
          </c:val>
        </c:ser>
        <c:ser>
          <c:idx val="1"/>
          <c:order val="1"/>
          <c:tx>
            <c:strRef>
              <c:f>DD!$C$67</c:f>
              <c:strCache>
                <c:ptCount val="1"/>
                <c:pt idx="0">
                  <c:v>Prosječan broj djece obuhvaćene pravom za 2018. godinu</c:v>
                </c:pt>
              </c:strCache>
            </c:strRef>
          </c:tx>
          <c:invertIfNegative val="0"/>
          <c:cat>
            <c:strRef>
              <c:f>DD!$A$68:$A$80</c:f>
              <c:strCache>
                <c:ptCount val="13"/>
                <c:pt idx="0">
                  <c:v>Podgorica</c:v>
                </c:pt>
                <c:pt idx="1">
                  <c:v>Danilovgrad</c:v>
                </c:pt>
                <c:pt idx="2">
                  <c:v>Cetinje</c:v>
                </c:pt>
                <c:pt idx="3">
                  <c:v>Nikšić</c:v>
                </c:pt>
                <c:pt idx="4">
                  <c:v>Bar</c:v>
                </c:pt>
                <c:pt idx="5">
                  <c:v>Kotor</c:v>
                </c:pt>
                <c:pt idx="6">
                  <c:v>Herceg Novi</c:v>
                </c:pt>
                <c:pt idx="7">
                  <c:v>Berane</c:v>
                </c:pt>
                <c:pt idx="8">
                  <c:v>Plav</c:v>
                </c:pt>
                <c:pt idx="9">
                  <c:v>Rožaje</c:v>
                </c:pt>
                <c:pt idx="10">
                  <c:v>Bijelo Polje</c:v>
                </c:pt>
                <c:pt idx="11">
                  <c:v>Mojkovac</c:v>
                </c:pt>
                <c:pt idx="12">
                  <c:v>Pljevlja</c:v>
                </c:pt>
              </c:strCache>
            </c:strRef>
          </c:cat>
          <c:val>
            <c:numRef>
              <c:f>DD!$C$68:$C$80</c:f>
              <c:numCache>
                <c:formatCode>General</c:formatCode>
                <c:ptCount val="13"/>
                <c:pt idx="0">
                  <c:v>3532</c:v>
                </c:pt>
                <c:pt idx="1">
                  <c:v>254</c:v>
                </c:pt>
                <c:pt idx="2">
                  <c:v>294</c:v>
                </c:pt>
                <c:pt idx="3">
                  <c:v>2218</c:v>
                </c:pt>
                <c:pt idx="4">
                  <c:v>1048</c:v>
                </c:pt>
                <c:pt idx="5">
                  <c:v>215</c:v>
                </c:pt>
                <c:pt idx="6">
                  <c:v>99</c:v>
                </c:pt>
                <c:pt idx="7">
                  <c:v>1871</c:v>
                </c:pt>
                <c:pt idx="8">
                  <c:v>758</c:v>
                </c:pt>
                <c:pt idx="9">
                  <c:v>2396</c:v>
                </c:pt>
                <c:pt idx="10">
                  <c:v>1283</c:v>
                </c:pt>
                <c:pt idx="11">
                  <c:v>424</c:v>
                </c:pt>
                <c:pt idx="12">
                  <c:v>581</c:v>
                </c:pt>
              </c:numCache>
            </c:numRef>
          </c:val>
        </c:ser>
        <c:dLbls>
          <c:showLegendKey val="0"/>
          <c:showVal val="0"/>
          <c:showCatName val="0"/>
          <c:showSerName val="0"/>
          <c:showPercent val="0"/>
          <c:showBubbleSize val="0"/>
        </c:dLbls>
        <c:gapWidth val="150"/>
        <c:shape val="box"/>
        <c:axId val="149012480"/>
        <c:axId val="149014016"/>
        <c:axId val="0"/>
      </c:bar3DChart>
      <c:catAx>
        <c:axId val="149012480"/>
        <c:scaling>
          <c:orientation val="minMax"/>
        </c:scaling>
        <c:delete val="0"/>
        <c:axPos val="l"/>
        <c:majorTickMark val="out"/>
        <c:minorTickMark val="none"/>
        <c:tickLblPos val="nextTo"/>
        <c:crossAx val="149014016"/>
        <c:crosses val="autoZero"/>
        <c:auto val="1"/>
        <c:lblAlgn val="ctr"/>
        <c:lblOffset val="100"/>
        <c:noMultiLvlLbl val="0"/>
      </c:catAx>
      <c:valAx>
        <c:axId val="149014016"/>
        <c:scaling>
          <c:orientation val="minMax"/>
        </c:scaling>
        <c:delete val="0"/>
        <c:axPos val="b"/>
        <c:majorGridlines/>
        <c:numFmt formatCode="General" sourceLinked="1"/>
        <c:majorTickMark val="out"/>
        <c:minorTickMark val="none"/>
        <c:tickLblPos val="nextTo"/>
        <c:crossAx val="149012480"/>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Sheet1!$A$2</c:f>
              <c:strCache>
                <c:ptCount val="1"/>
                <c:pt idx="0">
                  <c:v>Materijalno obezbjeđenje</c:v>
                </c:pt>
              </c:strCache>
            </c:strRef>
          </c:tx>
          <c:marker>
            <c:symbol val="none"/>
          </c:marker>
          <c:cat>
            <c:strRef>
              <c:f>Sheet1!$B$1:$F$1</c:f>
              <c:strCache>
                <c:ptCount val="5"/>
                <c:pt idx="0">
                  <c:v>Broj korisnika 2014 godina</c:v>
                </c:pt>
                <c:pt idx="1">
                  <c:v>Broj korisnika 2015 godina</c:v>
                </c:pt>
                <c:pt idx="2">
                  <c:v>Broj korisnika 2016 godina</c:v>
                </c:pt>
                <c:pt idx="3">
                  <c:v>Broj korisnika 2017 godina</c:v>
                </c:pt>
                <c:pt idx="4">
                  <c:v>Broj korisnika 2018 godina</c:v>
                </c:pt>
              </c:strCache>
            </c:strRef>
          </c:cat>
          <c:val>
            <c:numRef>
              <c:f>Sheet1!$B$2:$F$2</c:f>
              <c:numCache>
                <c:formatCode>General</c:formatCode>
                <c:ptCount val="5"/>
                <c:pt idx="0">
                  <c:v>40644</c:v>
                </c:pt>
                <c:pt idx="1">
                  <c:v>38417</c:v>
                </c:pt>
                <c:pt idx="2">
                  <c:v>26874</c:v>
                </c:pt>
                <c:pt idx="3">
                  <c:v>28380</c:v>
                </c:pt>
                <c:pt idx="4">
                  <c:v>31066</c:v>
                </c:pt>
              </c:numCache>
            </c:numRef>
          </c:val>
          <c:smooth val="0"/>
        </c:ser>
        <c:ser>
          <c:idx val="1"/>
          <c:order val="1"/>
          <c:tx>
            <c:strRef>
              <c:f>Sheet1!$A$3</c:f>
              <c:strCache>
                <c:ptCount val="1"/>
                <c:pt idx="0">
                  <c:v>Lična invalidnina</c:v>
                </c:pt>
              </c:strCache>
            </c:strRef>
          </c:tx>
          <c:marker>
            <c:symbol val="none"/>
          </c:marker>
          <c:cat>
            <c:strRef>
              <c:f>Sheet1!$B$1:$F$1</c:f>
              <c:strCache>
                <c:ptCount val="5"/>
                <c:pt idx="0">
                  <c:v>Broj korisnika 2014 godina</c:v>
                </c:pt>
                <c:pt idx="1">
                  <c:v>Broj korisnika 2015 godina</c:v>
                </c:pt>
                <c:pt idx="2">
                  <c:v>Broj korisnika 2016 godina</c:v>
                </c:pt>
                <c:pt idx="3">
                  <c:v>Broj korisnika 2017 godina</c:v>
                </c:pt>
                <c:pt idx="4">
                  <c:v>Broj korisnika 2018 godina</c:v>
                </c:pt>
              </c:strCache>
            </c:strRef>
          </c:cat>
          <c:val>
            <c:numRef>
              <c:f>Sheet1!$B$3:$F$3</c:f>
              <c:numCache>
                <c:formatCode>General</c:formatCode>
                <c:ptCount val="5"/>
                <c:pt idx="0">
                  <c:v>1796</c:v>
                </c:pt>
                <c:pt idx="1">
                  <c:v>1866</c:v>
                </c:pt>
                <c:pt idx="2">
                  <c:v>2083</c:v>
                </c:pt>
                <c:pt idx="3">
                  <c:v>2428</c:v>
                </c:pt>
                <c:pt idx="4">
                  <c:v>2499</c:v>
                </c:pt>
              </c:numCache>
            </c:numRef>
          </c:val>
          <c:smooth val="0"/>
        </c:ser>
        <c:ser>
          <c:idx val="2"/>
          <c:order val="2"/>
          <c:tx>
            <c:strRef>
              <c:f>Sheet1!$A$4</c:f>
              <c:strCache>
                <c:ptCount val="1"/>
                <c:pt idx="0">
                  <c:v>Dodatak za njegu i pomoć</c:v>
                </c:pt>
              </c:strCache>
            </c:strRef>
          </c:tx>
          <c:marker>
            <c:symbol val="none"/>
          </c:marker>
          <c:cat>
            <c:strRef>
              <c:f>Sheet1!$B$1:$F$1</c:f>
              <c:strCache>
                <c:ptCount val="5"/>
                <c:pt idx="0">
                  <c:v>Broj korisnika 2014 godina</c:v>
                </c:pt>
                <c:pt idx="1">
                  <c:v>Broj korisnika 2015 godina</c:v>
                </c:pt>
                <c:pt idx="2">
                  <c:v>Broj korisnika 2016 godina</c:v>
                </c:pt>
                <c:pt idx="3">
                  <c:v>Broj korisnika 2017 godina</c:v>
                </c:pt>
                <c:pt idx="4">
                  <c:v>Broj korisnika 2018 godina</c:v>
                </c:pt>
              </c:strCache>
            </c:strRef>
          </c:cat>
          <c:val>
            <c:numRef>
              <c:f>Sheet1!$B$4:$F$4</c:f>
              <c:numCache>
                <c:formatCode>General</c:formatCode>
                <c:ptCount val="5"/>
                <c:pt idx="0">
                  <c:v>8818</c:v>
                </c:pt>
                <c:pt idx="1">
                  <c:v>11422</c:v>
                </c:pt>
                <c:pt idx="2">
                  <c:v>14857</c:v>
                </c:pt>
                <c:pt idx="3">
                  <c:v>14422</c:v>
                </c:pt>
                <c:pt idx="4">
                  <c:v>15405</c:v>
                </c:pt>
              </c:numCache>
            </c:numRef>
          </c:val>
          <c:smooth val="0"/>
        </c:ser>
        <c:ser>
          <c:idx val="3"/>
          <c:order val="3"/>
          <c:tx>
            <c:strRef>
              <c:f>Sheet1!$A$5</c:f>
              <c:strCache>
                <c:ptCount val="1"/>
                <c:pt idx="0">
                  <c:v>Dječji dodatak </c:v>
                </c:pt>
              </c:strCache>
            </c:strRef>
          </c:tx>
          <c:marker>
            <c:symbol val="none"/>
          </c:marker>
          <c:cat>
            <c:strRef>
              <c:f>Sheet1!$B$1:$F$1</c:f>
              <c:strCache>
                <c:ptCount val="5"/>
                <c:pt idx="0">
                  <c:v>Broj korisnika 2014 godina</c:v>
                </c:pt>
                <c:pt idx="1">
                  <c:v>Broj korisnika 2015 godina</c:v>
                </c:pt>
                <c:pt idx="2">
                  <c:v>Broj korisnika 2016 godina</c:v>
                </c:pt>
                <c:pt idx="3">
                  <c:v>Broj korisnika 2017 godina</c:v>
                </c:pt>
                <c:pt idx="4">
                  <c:v>Broj korisnika 2018 godina</c:v>
                </c:pt>
              </c:strCache>
            </c:strRef>
          </c:cat>
          <c:val>
            <c:numRef>
              <c:f>Sheet1!$B$5:$F$5</c:f>
              <c:numCache>
                <c:formatCode>General</c:formatCode>
                <c:ptCount val="5"/>
                <c:pt idx="0">
                  <c:v>19328</c:v>
                </c:pt>
                <c:pt idx="1">
                  <c:v>17936</c:v>
                </c:pt>
                <c:pt idx="2">
                  <c:v>12799</c:v>
                </c:pt>
                <c:pt idx="3">
                  <c:v>11181</c:v>
                </c:pt>
                <c:pt idx="4">
                  <c:v>14974</c:v>
                </c:pt>
              </c:numCache>
            </c:numRef>
          </c:val>
          <c:smooth val="0"/>
        </c:ser>
        <c:dLbls>
          <c:showLegendKey val="0"/>
          <c:showVal val="0"/>
          <c:showCatName val="0"/>
          <c:showSerName val="0"/>
          <c:showPercent val="0"/>
          <c:showBubbleSize val="0"/>
        </c:dLbls>
        <c:marker val="1"/>
        <c:smooth val="0"/>
        <c:axId val="149023744"/>
        <c:axId val="149369600"/>
      </c:lineChart>
      <c:catAx>
        <c:axId val="149023744"/>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en-US"/>
          </a:p>
        </c:txPr>
        <c:crossAx val="149369600"/>
        <c:crosses val="autoZero"/>
        <c:auto val="1"/>
        <c:lblAlgn val="ctr"/>
        <c:lblOffset val="100"/>
        <c:noMultiLvlLbl val="0"/>
      </c:catAx>
      <c:valAx>
        <c:axId val="149369600"/>
        <c:scaling>
          <c:orientation val="minMax"/>
        </c:scaling>
        <c:delete val="0"/>
        <c:axPos val="l"/>
        <c:majorGridlines/>
        <c:numFmt formatCode="General" sourceLinked="1"/>
        <c:majorTickMark val="out"/>
        <c:minorTickMark val="none"/>
        <c:tickLblPos val="nextTo"/>
        <c:crossAx val="149023744"/>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sr-Latn-ME" sz="1100">
                <a:latin typeface="Times New Roman" pitchFamily="18" charset="0"/>
                <a:cs typeface="Times New Roman" pitchFamily="18" charset="0"/>
              </a:rPr>
              <a:t>Broj</a:t>
            </a:r>
            <a:r>
              <a:rPr lang="sr-Latn-ME" sz="1100" baseline="0">
                <a:latin typeface="Times New Roman" pitchFamily="18" charset="0"/>
                <a:cs typeface="Times New Roman" pitchFamily="18" charset="0"/>
              </a:rPr>
              <a:t> korisnika osnovnih materijalnih davanja u socijalnoj zaštiti u 2017 i 2018 godini</a:t>
            </a:r>
            <a:endParaRPr lang="sr-Latn-ME" sz="1100">
              <a:latin typeface="Times New Roman" pitchFamily="18" charset="0"/>
              <a:cs typeface="Times New Roman" pitchFamily="18"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'Materijalna dav rezime'!$B$99</c:f>
              <c:strCache>
                <c:ptCount val="1"/>
                <c:pt idx="0">
                  <c:v>za 2017. god.</c:v>
                </c:pt>
              </c:strCache>
            </c:strRef>
          </c:tx>
          <c:invertIfNegative val="0"/>
          <c:cat>
            <c:strRef>
              <c:f>'Materijalna dav rezime'!$A$100:$A$106</c:f>
              <c:strCache>
                <c:ptCount val="7"/>
                <c:pt idx="0">
                  <c:v>MO</c:v>
                </c:pt>
                <c:pt idx="1">
                  <c:v>LI</c:v>
                </c:pt>
                <c:pt idx="2">
                  <c:v>DNJP</c:v>
                </c:pt>
                <c:pt idx="3">
                  <c:v>ZZ</c:v>
                </c:pt>
                <c:pt idx="4">
                  <c:v>TS</c:v>
                </c:pt>
                <c:pt idx="5">
                  <c:v>JNP</c:v>
                </c:pt>
                <c:pt idx="6">
                  <c:v>NRS</c:v>
                </c:pt>
              </c:strCache>
            </c:strRef>
          </c:cat>
          <c:val>
            <c:numRef>
              <c:f>'Materijalna dav rezime'!$B$100:$B$106</c:f>
              <c:numCache>
                <c:formatCode>General</c:formatCode>
                <c:ptCount val="7"/>
                <c:pt idx="0">
                  <c:v>28380</c:v>
                </c:pt>
                <c:pt idx="1">
                  <c:v>2428</c:v>
                </c:pt>
                <c:pt idx="2">
                  <c:v>14422</c:v>
                </c:pt>
                <c:pt idx="3">
                  <c:v>1961</c:v>
                </c:pt>
                <c:pt idx="4">
                  <c:v>467</c:v>
                </c:pt>
                <c:pt idx="5">
                  <c:v>2877</c:v>
                </c:pt>
                <c:pt idx="6">
                  <c:v>1974</c:v>
                </c:pt>
              </c:numCache>
            </c:numRef>
          </c:val>
        </c:ser>
        <c:ser>
          <c:idx val="1"/>
          <c:order val="1"/>
          <c:tx>
            <c:strRef>
              <c:f>'Materijalna dav rezime'!$C$99</c:f>
              <c:strCache>
                <c:ptCount val="1"/>
                <c:pt idx="0">
                  <c:v>za 2018. god.</c:v>
                </c:pt>
              </c:strCache>
            </c:strRef>
          </c:tx>
          <c:invertIfNegative val="0"/>
          <c:cat>
            <c:strRef>
              <c:f>'Materijalna dav rezime'!$A$100:$A$106</c:f>
              <c:strCache>
                <c:ptCount val="7"/>
                <c:pt idx="0">
                  <c:v>MO</c:v>
                </c:pt>
                <c:pt idx="1">
                  <c:v>LI</c:v>
                </c:pt>
                <c:pt idx="2">
                  <c:v>DNJP</c:v>
                </c:pt>
                <c:pt idx="3">
                  <c:v>ZZ</c:v>
                </c:pt>
                <c:pt idx="4">
                  <c:v>TS</c:v>
                </c:pt>
                <c:pt idx="5">
                  <c:v>JNP</c:v>
                </c:pt>
                <c:pt idx="6">
                  <c:v>NRS</c:v>
                </c:pt>
              </c:strCache>
            </c:strRef>
          </c:cat>
          <c:val>
            <c:numRef>
              <c:f>'Materijalna dav rezime'!$C$100:$C$106</c:f>
              <c:numCache>
                <c:formatCode>General</c:formatCode>
                <c:ptCount val="7"/>
                <c:pt idx="0">
                  <c:v>31066</c:v>
                </c:pt>
                <c:pt idx="1">
                  <c:v>2499</c:v>
                </c:pt>
                <c:pt idx="2">
                  <c:v>15405</c:v>
                </c:pt>
                <c:pt idx="3">
                  <c:v>1317</c:v>
                </c:pt>
                <c:pt idx="4">
                  <c:v>573</c:v>
                </c:pt>
                <c:pt idx="5">
                  <c:v>5140</c:v>
                </c:pt>
                <c:pt idx="6">
                  <c:v>2042</c:v>
                </c:pt>
              </c:numCache>
            </c:numRef>
          </c:val>
        </c:ser>
        <c:dLbls>
          <c:showLegendKey val="0"/>
          <c:showVal val="0"/>
          <c:showCatName val="0"/>
          <c:showSerName val="0"/>
          <c:showPercent val="0"/>
          <c:showBubbleSize val="0"/>
        </c:dLbls>
        <c:gapWidth val="150"/>
        <c:shape val="cylinder"/>
        <c:axId val="74833920"/>
        <c:axId val="74835456"/>
        <c:axId val="0"/>
      </c:bar3DChart>
      <c:catAx>
        <c:axId val="7483392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en-US"/>
          </a:p>
        </c:txPr>
        <c:crossAx val="74835456"/>
        <c:crosses val="autoZero"/>
        <c:auto val="1"/>
        <c:lblAlgn val="ctr"/>
        <c:lblOffset val="100"/>
        <c:noMultiLvlLbl val="0"/>
      </c:catAx>
      <c:valAx>
        <c:axId val="7483545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7483392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'Materijalna davanja'!$D$14</c:f>
              <c:strCache>
                <c:ptCount val="1"/>
                <c:pt idx="0">
                  <c:v>BROJ PORODICA</c:v>
                </c:pt>
              </c:strCache>
            </c:strRef>
          </c:tx>
          <c:cat>
            <c:strRef>
              <c:f>'Materijalna davanja'!$C$15:$C$26</c:f>
              <c:strCache>
                <c:ptCount val="12"/>
                <c:pt idx="0">
                  <c:v>Januar</c:v>
                </c:pt>
                <c:pt idx="1">
                  <c:v>Februar</c:v>
                </c:pt>
                <c:pt idx="2">
                  <c:v>Mart</c:v>
                </c:pt>
                <c:pt idx="3">
                  <c:v>April</c:v>
                </c:pt>
                <c:pt idx="4">
                  <c:v>Maj </c:v>
                </c:pt>
                <c:pt idx="5">
                  <c:v>Jun</c:v>
                </c:pt>
                <c:pt idx="6">
                  <c:v>Jul</c:v>
                </c:pt>
                <c:pt idx="7">
                  <c:v>Avgust</c:v>
                </c:pt>
                <c:pt idx="8">
                  <c:v>Septembar</c:v>
                </c:pt>
                <c:pt idx="9">
                  <c:v>Oktobar</c:v>
                </c:pt>
                <c:pt idx="10">
                  <c:v>Novembar</c:v>
                </c:pt>
                <c:pt idx="11">
                  <c:v>Decembar</c:v>
                </c:pt>
              </c:strCache>
            </c:strRef>
          </c:cat>
          <c:val>
            <c:numRef>
              <c:f>'Materijalna davanja'!$D$15:$D$26</c:f>
              <c:numCache>
                <c:formatCode>General</c:formatCode>
                <c:ptCount val="12"/>
                <c:pt idx="0">
                  <c:v>9177</c:v>
                </c:pt>
                <c:pt idx="1">
                  <c:v>9282</c:v>
                </c:pt>
                <c:pt idx="2">
                  <c:v>9321</c:v>
                </c:pt>
                <c:pt idx="3">
                  <c:v>9366</c:v>
                </c:pt>
                <c:pt idx="4">
                  <c:v>9507</c:v>
                </c:pt>
                <c:pt idx="5">
                  <c:v>9495</c:v>
                </c:pt>
                <c:pt idx="6">
                  <c:v>9429</c:v>
                </c:pt>
                <c:pt idx="7">
                  <c:v>9413</c:v>
                </c:pt>
                <c:pt idx="8">
                  <c:v>9328</c:v>
                </c:pt>
                <c:pt idx="9">
                  <c:v>9267</c:v>
                </c:pt>
                <c:pt idx="10">
                  <c:v>9178</c:v>
                </c:pt>
                <c:pt idx="11">
                  <c:v>9151</c:v>
                </c:pt>
              </c:numCache>
            </c:numRef>
          </c:val>
          <c:smooth val="0"/>
        </c:ser>
        <c:ser>
          <c:idx val="1"/>
          <c:order val="1"/>
          <c:tx>
            <c:strRef>
              <c:f>'Materijalna davanja'!$E$14</c:f>
              <c:strCache>
                <c:ptCount val="1"/>
                <c:pt idx="0">
                  <c:v>BROJ LICA</c:v>
                </c:pt>
              </c:strCache>
            </c:strRef>
          </c:tx>
          <c:cat>
            <c:strRef>
              <c:f>'Materijalna davanja'!$C$15:$C$26</c:f>
              <c:strCache>
                <c:ptCount val="12"/>
                <c:pt idx="0">
                  <c:v>Januar</c:v>
                </c:pt>
                <c:pt idx="1">
                  <c:v>Februar</c:v>
                </c:pt>
                <c:pt idx="2">
                  <c:v>Mart</c:v>
                </c:pt>
                <c:pt idx="3">
                  <c:v>April</c:v>
                </c:pt>
                <c:pt idx="4">
                  <c:v>Maj </c:v>
                </c:pt>
                <c:pt idx="5">
                  <c:v>Jun</c:v>
                </c:pt>
                <c:pt idx="6">
                  <c:v>Jul</c:v>
                </c:pt>
                <c:pt idx="7">
                  <c:v>Avgust</c:v>
                </c:pt>
                <c:pt idx="8">
                  <c:v>Septembar</c:v>
                </c:pt>
                <c:pt idx="9">
                  <c:v>Oktobar</c:v>
                </c:pt>
                <c:pt idx="10">
                  <c:v>Novembar</c:v>
                </c:pt>
                <c:pt idx="11">
                  <c:v>Decembar</c:v>
                </c:pt>
              </c:strCache>
            </c:strRef>
          </c:cat>
          <c:val>
            <c:numRef>
              <c:f>'Materijalna davanja'!$E$15:$E$26</c:f>
              <c:numCache>
                <c:formatCode>General</c:formatCode>
                <c:ptCount val="12"/>
                <c:pt idx="0">
                  <c:v>27699</c:v>
                </c:pt>
                <c:pt idx="1">
                  <c:v>27900</c:v>
                </c:pt>
                <c:pt idx="2">
                  <c:v>28112</c:v>
                </c:pt>
                <c:pt idx="3">
                  <c:v>28568</c:v>
                </c:pt>
                <c:pt idx="4">
                  <c:v>29017</c:v>
                </c:pt>
                <c:pt idx="5">
                  <c:v>29041</c:v>
                </c:pt>
                <c:pt idx="6">
                  <c:v>28833</c:v>
                </c:pt>
                <c:pt idx="7">
                  <c:v>28839</c:v>
                </c:pt>
                <c:pt idx="8">
                  <c:v>28189</c:v>
                </c:pt>
                <c:pt idx="9">
                  <c:v>28601</c:v>
                </c:pt>
                <c:pt idx="10">
                  <c:v>27997</c:v>
                </c:pt>
                <c:pt idx="11">
                  <c:v>27994</c:v>
                </c:pt>
              </c:numCache>
            </c:numRef>
          </c:val>
          <c:smooth val="0"/>
        </c:ser>
        <c:dLbls>
          <c:showLegendKey val="0"/>
          <c:showVal val="0"/>
          <c:showCatName val="0"/>
          <c:showSerName val="0"/>
          <c:showPercent val="0"/>
          <c:showBubbleSize val="0"/>
        </c:dLbls>
        <c:marker val="1"/>
        <c:smooth val="0"/>
        <c:axId val="74828032"/>
        <c:axId val="75505664"/>
      </c:lineChart>
      <c:catAx>
        <c:axId val="74828032"/>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en-US"/>
          </a:p>
        </c:txPr>
        <c:crossAx val="75505664"/>
        <c:crosses val="autoZero"/>
        <c:auto val="1"/>
        <c:lblAlgn val="ctr"/>
        <c:lblOffset val="100"/>
        <c:noMultiLvlLbl val="0"/>
      </c:catAx>
      <c:valAx>
        <c:axId val="7550566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74828032"/>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sr-Latn-ME" sz="1400">
                <a:latin typeface="Times New Roman" pitchFamily="18" charset="0"/>
                <a:cs typeface="Times New Roman" pitchFamily="18" charset="0"/>
              </a:rPr>
              <a:t>Struktura</a:t>
            </a:r>
            <a:r>
              <a:rPr lang="sr-Latn-ME" sz="1400" baseline="0">
                <a:latin typeface="Times New Roman" pitchFamily="18" charset="0"/>
                <a:cs typeface="Times New Roman" pitchFamily="18" charset="0"/>
              </a:rPr>
              <a:t> djece obuhvaćene pravom na MO</a:t>
            </a:r>
            <a:endParaRPr lang="sr-Latn-ME"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Sheet2!$F$1</c:f>
              <c:strCache>
                <c:ptCount val="1"/>
                <c:pt idx="0">
                  <c:v>Muški</c:v>
                </c:pt>
              </c:strCache>
            </c:strRef>
          </c:tx>
          <c:invertIfNegative val="0"/>
          <c:cat>
            <c:strRef>
              <c:f>Sheet2!$E$2:$E$5</c:f>
              <c:strCache>
                <c:ptCount val="4"/>
                <c:pt idx="0">
                  <c:v>od 0 do 3 godine</c:v>
                </c:pt>
                <c:pt idx="1">
                  <c:v>od 4 do 6 godina</c:v>
                </c:pt>
                <c:pt idx="2">
                  <c:v>od 7 do 14 godina</c:v>
                </c:pt>
                <c:pt idx="3">
                  <c:v>od 15 do 18 godina</c:v>
                </c:pt>
              </c:strCache>
            </c:strRef>
          </c:cat>
          <c:val>
            <c:numRef>
              <c:f>Sheet2!$F$2:$F$5</c:f>
              <c:numCache>
                <c:formatCode>0.00%</c:formatCode>
                <c:ptCount val="4"/>
                <c:pt idx="0">
                  <c:v>0.18116591928251122</c:v>
                </c:pt>
                <c:pt idx="1">
                  <c:v>0.18834080717488788</c:v>
                </c:pt>
                <c:pt idx="2">
                  <c:v>0.41636771300448433</c:v>
                </c:pt>
                <c:pt idx="3">
                  <c:v>0.2141255605381166</c:v>
                </c:pt>
              </c:numCache>
            </c:numRef>
          </c:val>
        </c:ser>
        <c:ser>
          <c:idx val="1"/>
          <c:order val="1"/>
          <c:tx>
            <c:strRef>
              <c:f>Sheet2!$G$1</c:f>
              <c:strCache>
                <c:ptCount val="1"/>
                <c:pt idx="0">
                  <c:v>Ženski</c:v>
                </c:pt>
              </c:strCache>
            </c:strRef>
          </c:tx>
          <c:invertIfNegative val="0"/>
          <c:cat>
            <c:strRef>
              <c:f>Sheet2!$E$2:$E$5</c:f>
              <c:strCache>
                <c:ptCount val="4"/>
                <c:pt idx="0">
                  <c:v>od 0 do 3 godine</c:v>
                </c:pt>
                <c:pt idx="1">
                  <c:v>od 4 do 6 godina</c:v>
                </c:pt>
                <c:pt idx="2">
                  <c:v>od 7 do 14 godina</c:v>
                </c:pt>
                <c:pt idx="3">
                  <c:v>od 15 do 18 godina</c:v>
                </c:pt>
              </c:strCache>
            </c:strRef>
          </c:cat>
          <c:val>
            <c:numRef>
              <c:f>Sheet2!$G$2:$G$5</c:f>
              <c:numCache>
                <c:formatCode>0.00%</c:formatCode>
                <c:ptCount val="4"/>
                <c:pt idx="0">
                  <c:v>0.17175035194744251</c:v>
                </c:pt>
                <c:pt idx="1">
                  <c:v>0.18770530267480057</c:v>
                </c:pt>
                <c:pt idx="2">
                  <c:v>0.43430314406381981</c:v>
                </c:pt>
                <c:pt idx="3">
                  <c:v>0.20624120131393711</c:v>
                </c:pt>
              </c:numCache>
            </c:numRef>
          </c:val>
        </c:ser>
        <c:dLbls>
          <c:showLegendKey val="0"/>
          <c:showVal val="0"/>
          <c:showCatName val="0"/>
          <c:showSerName val="0"/>
          <c:showPercent val="0"/>
          <c:showBubbleSize val="0"/>
        </c:dLbls>
        <c:gapWidth val="150"/>
        <c:axId val="75719040"/>
        <c:axId val="75720576"/>
      </c:barChart>
      <c:catAx>
        <c:axId val="75719040"/>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en-US"/>
          </a:p>
        </c:txPr>
        <c:crossAx val="75720576"/>
        <c:crosses val="autoZero"/>
        <c:auto val="1"/>
        <c:lblAlgn val="ctr"/>
        <c:lblOffset val="100"/>
        <c:noMultiLvlLbl val="0"/>
      </c:catAx>
      <c:valAx>
        <c:axId val="75720576"/>
        <c:scaling>
          <c:orientation val="minMax"/>
        </c:scaling>
        <c:delete val="0"/>
        <c:axPos val="l"/>
        <c:majorGridlines/>
        <c:numFmt formatCode="0.00%" sourceLinked="1"/>
        <c:majorTickMark val="out"/>
        <c:minorTickMark val="none"/>
        <c:tickLblPos val="nextTo"/>
        <c:crossAx val="75719040"/>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sr-Latn-ME" sz="1200" baseline="0">
                <a:latin typeface="Times New Roman" pitchFamily="18" charset="0"/>
                <a:cs typeface="Times New Roman" pitchFamily="18" charset="0"/>
              </a:rPr>
              <a:t>Porodice i lica obuhvaćeni pravom na MO po regionima</a:t>
            </a:r>
            <a:endParaRPr lang="sr-Latn-ME"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'Materijalna dav rezime'!$M$58</c:f>
              <c:strCache>
                <c:ptCount val="1"/>
                <c:pt idx="0">
                  <c:v>Prosječan broj porodica korisnika MO</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'Materijalna dav rezime'!$L$59:$L$61</c:f>
              <c:strCache>
                <c:ptCount val="3"/>
                <c:pt idx="0">
                  <c:v>Sjeverni region</c:v>
                </c:pt>
                <c:pt idx="1">
                  <c:v>Središnji region</c:v>
                </c:pt>
                <c:pt idx="2">
                  <c:v>Primorski region</c:v>
                </c:pt>
              </c:strCache>
            </c:strRef>
          </c:cat>
          <c:val>
            <c:numRef>
              <c:f>'Materijalna dav rezime'!$M$59:$M$61</c:f>
              <c:numCache>
                <c:formatCode>General</c:formatCode>
                <c:ptCount val="3"/>
                <c:pt idx="0">
                  <c:v>4574</c:v>
                </c:pt>
                <c:pt idx="1">
                  <c:v>3878</c:v>
                </c:pt>
                <c:pt idx="2">
                  <c:v>868</c:v>
                </c:pt>
              </c:numCache>
            </c:numRef>
          </c:val>
        </c:ser>
        <c:ser>
          <c:idx val="1"/>
          <c:order val="1"/>
          <c:tx>
            <c:strRef>
              <c:f>'Materijalna dav rezime'!$N$58</c:f>
              <c:strCache>
                <c:ptCount val="1"/>
                <c:pt idx="0">
                  <c:v>Prosječan broj lica korisnika MO</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'Materijalna dav rezime'!$L$59:$L$61</c:f>
              <c:strCache>
                <c:ptCount val="3"/>
                <c:pt idx="0">
                  <c:v>Sjeverni region</c:v>
                </c:pt>
                <c:pt idx="1">
                  <c:v>Središnji region</c:v>
                </c:pt>
                <c:pt idx="2">
                  <c:v>Primorski region</c:v>
                </c:pt>
              </c:strCache>
            </c:strRef>
          </c:cat>
          <c:val>
            <c:numRef>
              <c:f>'Materijalna dav rezime'!$N$59:$N$61</c:f>
              <c:numCache>
                <c:formatCode>General</c:formatCode>
                <c:ptCount val="3"/>
                <c:pt idx="0">
                  <c:v>15995</c:v>
                </c:pt>
                <c:pt idx="1">
                  <c:v>12440</c:v>
                </c:pt>
                <c:pt idx="2">
                  <c:v>2631</c:v>
                </c:pt>
              </c:numCache>
            </c:numRef>
          </c:val>
        </c:ser>
        <c:dLbls>
          <c:showLegendKey val="0"/>
          <c:showVal val="0"/>
          <c:showCatName val="0"/>
          <c:showSerName val="0"/>
          <c:showPercent val="0"/>
          <c:showBubbleSize val="0"/>
        </c:dLbls>
        <c:gapWidth val="150"/>
        <c:shape val="cylinder"/>
        <c:axId val="75784192"/>
        <c:axId val="75785728"/>
        <c:axId val="0"/>
      </c:bar3DChart>
      <c:catAx>
        <c:axId val="75784192"/>
        <c:scaling>
          <c:orientation val="minMax"/>
        </c:scaling>
        <c:delete val="0"/>
        <c:axPos val="b"/>
        <c:majorTickMark val="none"/>
        <c:minorTickMark val="none"/>
        <c:tickLblPos val="nextTo"/>
        <c:txPr>
          <a:bodyPr/>
          <a:lstStyle/>
          <a:p>
            <a:pPr>
              <a:defRPr sz="800">
                <a:latin typeface="Times New Roman" pitchFamily="18" charset="0"/>
                <a:cs typeface="Times New Roman" pitchFamily="18" charset="0"/>
              </a:defRPr>
            </a:pPr>
            <a:endParaRPr lang="en-US"/>
          </a:p>
        </c:txPr>
        <c:crossAx val="75785728"/>
        <c:crosses val="autoZero"/>
        <c:auto val="1"/>
        <c:lblAlgn val="ctr"/>
        <c:lblOffset val="100"/>
        <c:noMultiLvlLbl val="0"/>
      </c:catAx>
      <c:valAx>
        <c:axId val="75785728"/>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75784192"/>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Latn-ME" sz="1400">
                <a:latin typeface="Times New Roman" pitchFamily="18" charset="0"/>
                <a:cs typeface="Times New Roman" pitchFamily="18" charset="0"/>
              </a:rPr>
              <a:t>Zastupljenost</a:t>
            </a:r>
            <a:r>
              <a:rPr lang="sr-Latn-ME" sz="1400" baseline="0">
                <a:latin typeface="Times New Roman" pitchFamily="18" charset="0"/>
                <a:cs typeface="Times New Roman" pitchFamily="18" charset="0"/>
              </a:rPr>
              <a:t> lica obuhvaćenih pravom na MO po regionima</a:t>
            </a:r>
            <a:endParaRPr lang="sr-Latn-ME" sz="1400">
              <a:latin typeface="Times New Roman" pitchFamily="18" charset="0"/>
              <a:cs typeface="Times New Roman" pitchFamily="18" charset="0"/>
            </a:endParaRPr>
          </a:p>
        </c:rich>
      </c:tx>
      <c:overlay val="0"/>
    </c:title>
    <c:autoTitleDeleted val="0"/>
    <c:plotArea>
      <c:layout/>
      <c:pieChart>
        <c:varyColors val="1"/>
        <c:ser>
          <c:idx val="0"/>
          <c:order val="0"/>
          <c:tx>
            <c:strRef>
              <c:f>'Materijalna davanja'!$O$42</c:f>
              <c:strCache>
                <c:ptCount val="1"/>
                <c:pt idx="0">
                  <c:v>Procenat</c:v>
                </c:pt>
              </c:strCache>
            </c:strRef>
          </c:tx>
          <c:dLbls>
            <c:showLegendKey val="0"/>
            <c:showVal val="1"/>
            <c:showCatName val="0"/>
            <c:showSerName val="0"/>
            <c:showPercent val="0"/>
            <c:showBubbleSize val="0"/>
            <c:showLeaderLines val="1"/>
          </c:dLbls>
          <c:cat>
            <c:strRef>
              <c:f>'Materijalna davanja'!$N$43:$N$45</c:f>
              <c:strCache>
                <c:ptCount val="3"/>
                <c:pt idx="0">
                  <c:v>Primorski</c:v>
                </c:pt>
                <c:pt idx="1">
                  <c:v>Centralni</c:v>
                </c:pt>
                <c:pt idx="2">
                  <c:v>Sjeverni</c:v>
                </c:pt>
              </c:strCache>
            </c:strRef>
          </c:cat>
          <c:val>
            <c:numRef>
              <c:f>'Materijalna davanja'!$O$43:$O$45</c:f>
              <c:numCache>
                <c:formatCode>0%</c:formatCode>
                <c:ptCount val="3"/>
                <c:pt idx="0">
                  <c:v>0.09</c:v>
                </c:pt>
                <c:pt idx="1">
                  <c:v>0.4</c:v>
                </c:pt>
                <c:pt idx="2">
                  <c:v>0.51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sr-Latn-ME" sz="1400">
                <a:latin typeface="Times New Roman" pitchFamily="18" charset="0"/>
                <a:cs typeface="Times New Roman" pitchFamily="18" charset="0"/>
              </a:rPr>
              <a:t>S</a:t>
            </a:r>
            <a:r>
              <a:rPr lang="sr-Latn-ME" sz="1400" baseline="0">
                <a:latin typeface="Times New Roman" pitchFamily="18" charset="0"/>
                <a:cs typeface="Times New Roman" pitchFamily="18" charset="0"/>
              </a:rPr>
              <a:t>truktura korisnika LI po uzrastu</a:t>
            </a:r>
            <a:endParaRPr lang="sr-Latn-ME" sz="1400">
              <a:latin typeface="Times New Roman" pitchFamily="18" charset="0"/>
              <a:cs typeface="Times New Roman" pitchFamily="18" charset="0"/>
            </a:endParaRPr>
          </a:p>
        </c:rich>
      </c:tx>
      <c:overlay val="0"/>
    </c:title>
    <c:autoTitleDeleted val="0"/>
    <c:plotArea>
      <c:layout/>
      <c:pieChart>
        <c:varyColors val="1"/>
        <c:ser>
          <c:idx val="0"/>
          <c:order val="0"/>
          <c:tx>
            <c:strRef>
              <c:f>'Materijalna davanja'!$O$87</c:f>
              <c:strCache>
                <c:ptCount val="1"/>
                <c:pt idx="0">
                  <c:v>Procenat</c:v>
                </c:pt>
              </c:strCache>
            </c:strRef>
          </c:tx>
          <c:dLbls>
            <c:showLegendKey val="0"/>
            <c:showVal val="1"/>
            <c:showCatName val="0"/>
            <c:showSerName val="0"/>
            <c:showPercent val="0"/>
            <c:showBubbleSize val="0"/>
            <c:showLeaderLines val="1"/>
          </c:dLbls>
          <c:cat>
            <c:strRef>
              <c:f>'Materijalna davanja'!$N$88:$N$91</c:f>
              <c:strCache>
                <c:ptCount val="4"/>
                <c:pt idx="0">
                  <c:v>Djeca</c:v>
                </c:pt>
                <c:pt idx="1">
                  <c:v>Mladi</c:v>
                </c:pt>
                <c:pt idx="2">
                  <c:v>Odrasli</c:v>
                </c:pt>
                <c:pt idx="3">
                  <c:v>Stariji</c:v>
                </c:pt>
              </c:strCache>
            </c:strRef>
          </c:cat>
          <c:val>
            <c:numRef>
              <c:f>'Materijalna davanja'!$O$88:$O$91</c:f>
              <c:numCache>
                <c:formatCode>0%</c:formatCode>
                <c:ptCount val="4"/>
                <c:pt idx="0">
                  <c:v>0.251</c:v>
                </c:pt>
                <c:pt idx="1">
                  <c:v>0.17960000000000001</c:v>
                </c:pt>
                <c:pt idx="2">
                  <c:v>0.47799999999999998</c:v>
                </c:pt>
                <c:pt idx="3">
                  <c:v>9.1499999999999998E-2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5657042869641298"/>
          <c:y val="0.42770450568678914"/>
          <c:w val="0.12676290463692039"/>
          <c:h val="0.33486876640419949"/>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Sheet1!$I$1</c:f>
              <c:strCache>
                <c:ptCount val="1"/>
              </c:strCache>
            </c:strRef>
          </c:tx>
          <c:invertIfNegative val="0"/>
          <c:cat>
            <c:strRef>
              <c:f>Sheet1!$H$2:$H$5</c:f>
              <c:strCache>
                <c:ptCount val="4"/>
                <c:pt idx="0">
                  <c:v>Djeca (0-18)</c:v>
                </c:pt>
                <c:pt idx="1">
                  <c:v>Mladi (18-26)</c:v>
                </c:pt>
                <c:pt idx="2">
                  <c:v>Odrasli (26-67)</c:v>
                </c:pt>
                <c:pt idx="3">
                  <c:v>Stariji (67 i više)</c:v>
                </c:pt>
              </c:strCache>
            </c:strRef>
          </c:cat>
          <c:val>
            <c:numRef>
              <c:f>Sheet1!$I$2:$I$5</c:f>
              <c:numCache>
                <c:formatCode>General</c:formatCode>
                <c:ptCount val="4"/>
              </c:numCache>
            </c:numRef>
          </c:val>
        </c:ser>
        <c:ser>
          <c:idx val="1"/>
          <c:order val="1"/>
          <c:tx>
            <c:strRef>
              <c:f>Sheet1!$J$1</c:f>
              <c:strCache>
                <c:ptCount val="1"/>
              </c:strCache>
            </c:strRef>
          </c:tx>
          <c:invertIfNegative val="0"/>
          <c:cat>
            <c:strRef>
              <c:f>Sheet1!$H$2:$H$5</c:f>
              <c:strCache>
                <c:ptCount val="4"/>
                <c:pt idx="0">
                  <c:v>Djeca (0-18)</c:v>
                </c:pt>
                <c:pt idx="1">
                  <c:v>Mladi (18-26)</c:v>
                </c:pt>
                <c:pt idx="2">
                  <c:v>Odrasli (26-67)</c:v>
                </c:pt>
                <c:pt idx="3">
                  <c:v>Stariji (67 i više)</c:v>
                </c:pt>
              </c:strCache>
            </c:strRef>
          </c:cat>
          <c:val>
            <c:numRef>
              <c:f>Sheet1!$J$2:$J$5</c:f>
              <c:numCache>
                <c:formatCode>General</c:formatCode>
                <c:ptCount val="4"/>
              </c:numCache>
            </c:numRef>
          </c:val>
        </c:ser>
        <c:ser>
          <c:idx val="2"/>
          <c:order val="2"/>
          <c:tx>
            <c:strRef>
              <c:f>Sheet1!$K$1</c:f>
              <c:strCache>
                <c:ptCount val="1"/>
                <c:pt idx="0">
                  <c:v>Muški</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Sheet1!$H$2:$H$5</c:f>
              <c:strCache>
                <c:ptCount val="4"/>
                <c:pt idx="0">
                  <c:v>Djeca (0-18)</c:v>
                </c:pt>
                <c:pt idx="1">
                  <c:v>Mladi (18-26)</c:v>
                </c:pt>
                <c:pt idx="2">
                  <c:v>Odrasli (26-67)</c:v>
                </c:pt>
                <c:pt idx="3">
                  <c:v>Stariji (67 i više)</c:v>
                </c:pt>
              </c:strCache>
            </c:strRef>
          </c:cat>
          <c:val>
            <c:numRef>
              <c:f>Sheet1!$K$2:$K$5</c:f>
              <c:numCache>
                <c:formatCode>0%</c:formatCode>
                <c:ptCount val="4"/>
                <c:pt idx="0">
                  <c:v>0.63</c:v>
                </c:pt>
                <c:pt idx="1">
                  <c:v>0.52</c:v>
                </c:pt>
                <c:pt idx="2">
                  <c:v>0.52</c:v>
                </c:pt>
                <c:pt idx="3">
                  <c:v>0.56000000000000005</c:v>
                </c:pt>
              </c:numCache>
            </c:numRef>
          </c:val>
        </c:ser>
        <c:ser>
          <c:idx val="3"/>
          <c:order val="3"/>
          <c:tx>
            <c:strRef>
              <c:f>Sheet1!$L$1</c:f>
              <c:strCache>
                <c:ptCount val="1"/>
                <c:pt idx="0">
                  <c:v>Ženski</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Sheet1!$H$2:$H$5</c:f>
              <c:strCache>
                <c:ptCount val="4"/>
                <c:pt idx="0">
                  <c:v>Djeca (0-18)</c:v>
                </c:pt>
                <c:pt idx="1">
                  <c:v>Mladi (18-26)</c:v>
                </c:pt>
                <c:pt idx="2">
                  <c:v>Odrasli (26-67)</c:v>
                </c:pt>
                <c:pt idx="3">
                  <c:v>Stariji (67 i više)</c:v>
                </c:pt>
              </c:strCache>
            </c:strRef>
          </c:cat>
          <c:val>
            <c:numRef>
              <c:f>Sheet1!$L$2:$L$5</c:f>
              <c:numCache>
                <c:formatCode>0%</c:formatCode>
                <c:ptCount val="4"/>
                <c:pt idx="0">
                  <c:v>0.37</c:v>
                </c:pt>
                <c:pt idx="1">
                  <c:v>0.48</c:v>
                </c:pt>
                <c:pt idx="2">
                  <c:v>0.48</c:v>
                </c:pt>
                <c:pt idx="3">
                  <c:v>0.44</c:v>
                </c:pt>
              </c:numCache>
            </c:numRef>
          </c:val>
        </c:ser>
        <c:dLbls>
          <c:showLegendKey val="0"/>
          <c:showVal val="0"/>
          <c:showCatName val="0"/>
          <c:showSerName val="0"/>
          <c:showPercent val="0"/>
          <c:showBubbleSize val="0"/>
        </c:dLbls>
        <c:gapWidth val="150"/>
        <c:shape val="box"/>
        <c:axId val="112728704"/>
        <c:axId val="112734592"/>
        <c:axId val="0"/>
      </c:bar3DChart>
      <c:catAx>
        <c:axId val="112728704"/>
        <c:scaling>
          <c:orientation val="minMax"/>
        </c:scaling>
        <c:delete val="0"/>
        <c:axPos val="b"/>
        <c:majorTickMark val="out"/>
        <c:minorTickMark val="none"/>
        <c:tickLblPos val="nextTo"/>
        <c:txPr>
          <a:bodyPr/>
          <a:lstStyle/>
          <a:p>
            <a:pPr>
              <a:defRPr sz="800"/>
            </a:pPr>
            <a:endParaRPr lang="en-US"/>
          </a:p>
        </c:txPr>
        <c:crossAx val="112734592"/>
        <c:crosses val="autoZero"/>
        <c:auto val="1"/>
        <c:lblAlgn val="ctr"/>
        <c:lblOffset val="100"/>
        <c:noMultiLvlLbl val="0"/>
      </c:catAx>
      <c:valAx>
        <c:axId val="112734592"/>
        <c:scaling>
          <c:orientation val="minMax"/>
        </c:scaling>
        <c:delete val="0"/>
        <c:axPos val="l"/>
        <c:majorGridlines/>
        <c:numFmt formatCode="General" sourceLinked="1"/>
        <c:majorTickMark val="out"/>
        <c:minorTickMark val="none"/>
        <c:tickLblPos val="nextTo"/>
        <c:crossAx val="112728704"/>
        <c:crosses val="autoZero"/>
        <c:crossBetween val="between"/>
      </c:valAx>
    </c:plotArea>
    <c:legend>
      <c:legendPos val="r"/>
      <c:legendEntry>
        <c:idx val="0"/>
        <c:delete val="1"/>
      </c:legendEntry>
      <c:legendEntry>
        <c:idx val="1"/>
        <c:delete val="1"/>
      </c:legendEntry>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Latn-ME" sz="1400">
                <a:latin typeface="Times New Roman" pitchFamily="18" charset="0"/>
                <a:cs typeface="Times New Roman" pitchFamily="18" charset="0"/>
              </a:rPr>
              <a:t>Struktura</a:t>
            </a:r>
            <a:r>
              <a:rPr lang="sr-Latn-ME" sz="1400" baseline="0">
                <a:latin typeface="Times New Roman" pitchFamily="18" charset="0"/>
                <a:cs typeface="Times New Roman" pitchFamily="18" charset="0"/>
              </a:rPr>
              <a:t> korisnika DNJP po uzrastu</a:t>
            </a:r>
            <a:endParaRPr lang="en-US" sz="1400">
              <a:latin typeface="Times New Roman" pitchFamily="18" charset="0"/>
              <a:cs typeface="Times New Roman" pitchFamily="18" charset="0"/>
            </a:endParaRPr>
          </a:p>
        </c:rich>
      </c:tx>
      <c:overlay val="0"/>
    </c:title>
    <c:autoTitleDeleted val="0"/>
    <c:plotArea>
      <c:layout/>
      <c:pieChart>
        <c:varyColors val="1"/>
        <c:ser>
          <c:idx val="0"/>
          <c:order val="0"/>
          <c:tx>
            <c:strRef>
              <c:f>'Materijalna davanja'!$O$107</c:f>
              <c:strCache>
                <c:ptCount val="1"/>
                <c:pt idx="0">
                  <c:v>Procenat</c:v>
                </c:pt>
              </c:strCache>
            </c:strRef>
          </c:tx>
          <c:dLbls>
            <c:showLegendKey val="0"/>
            <c:showVal val="1"/>
            <c:showCatName val="0"/>
            <c:showSerName val="0"/>
            <c:showPercent val="0"/>
            <c:showBubbleSize val="0"/>
            <c:showLeaderLines val="1"/>
          </c:dLbls>
          <c:cat>
            <c:strRef>
              <c:f>'Materijalna davanja'!$N$108:$N$111</c:f>
              <c:strCache>
                <c:ptCount val="4"/>
                <c:pt idx="0">
                  <c:v>Djeca</c:v>
                </c:pt>
                <c:pt idx="1">
                  <c:v>Mladi</c:v>
                </c:pt>
                <c:pt idx="2">
                  <c:v>Odrasli</c:v>
                </c:pt>
                <c:pt idx="3">
                  <c:v>Stariji</c:v>
                </c:pt>
              </c:strCache>
            </c:strRef>
          </c:cat>
          <c:val>
            <c:numRef>
              <c:f>'Materijalna davanja'!$O$108:$O$111</c:f>
              <c:numCache>
                <c:formatCode>0%</c:formatCode>
                <c:ptCount val="4"/>
                <c:pt idx="0">
                  <c:v>0.14000000000000001</c:v>
                </c:pt>
                <c:pt idx="1">
                  <c:v>0.09</c:v>
                </c:pt>
                <c:pt idx="2">
                  <c:v>0.33</c:v>
                </c:pt>
                <c:pt idx="3">
                  <c:v>0.44</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468E9-83C3-46AD-B0A8-C3AD82C86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29</Pages>
  <Words>6317</Words>
  <Characters>36007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PGSZ10</dc:creator>
  <cp:lastModifiedBy>PGSZ15</cp:lastModifiedBy>
  <cp:revision>12</cp:revision>
  <cp:lastPrinted>2019-02-20T09:10:00Z</cp:lastPrinted>
  <dcterms:created xsi:type="dcterms:W3CDTF">2019-07-30T10:48:00Z</dcterms:created>
  <dcterms:modified xsi:type="dcterms:W3CDTF">2019-09-06T12:00:00Z</dcterms:modified>
</cp:coreProperties>
</file>