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sz w:val="24"/>
          <w:szCs w:val="24"/>
          <w:lang w:val="en-GB"/>
        </w:rPr>
      </w:pPr>
      <w:r>
        <w:rPr>
          <w:rFonts w:hint="default" w:ascii="Calibri" w:hAnsi="Calibri" w:cs="Calibri"/>
          <w:b/>
          <w:bCs/>
          <w:sz w:val="28"/>
          <w:szCs w:val="28"/>
          <w:lang w:val="en-GB"/>
        </w:rPr>
        <w:t>AGENDA REALIZACIJE PROGRAMA OBUKE “OTUĐIVANJE DETETA KAO OBLIK PORODIČNOG NASILJA”</w:t>
      </w:r>
    </w:p>
    <w:p>
      <w:pPr>
        <w:rPr>
          <w:rFonts w:hint="default" w:ascii="Calibri" w:hAnsi="Calibri" w:cs="Calibri"/>
          <w:sz w:val="24"/>
          <w:szCs w:val="24"/>
          <w:lang w:val="en-GB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n-GB"/>
        </w:rPr>
        <w:t xml:space="preserve">Tim autora će relizovati obuku u tri edukativna dana, predavači će biti </w:t>
      </w:r>
      <w:r>
        <w:rPr>
          <w:rFonts w:hint="default" w:ascii="Calibri" w:hAnsi="Calibri" w:cs="Calibri"/>
          <w:b/>
          <w:bCs/>
          <w:sz w:val="24"/>
          <w:szCs w:val="24"/>
          <w:lang w:val="en-GB"/>
        </w:rPr>
        <w:t>Ana Rajković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, psiholog, edukator i supervizor konstruktivističkog terapijskog modaliteta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Milan Damjanac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, master socijalnog rada, edukator konstruktivističkog terapijskog modaliteta,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  <w:t xml:space="preserve"> </w:t>
      </w: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Igor Andrić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psiholog 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  <w:t xml:space="preserve">i </w:t>
      </w: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Dejan Kojić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  <w:t>, forenzički psiholog.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</w:pP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  <w:t>Učesnici će obuku pratiti na zoom platformi.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b w:val="0"/>
          <w:bCs w:val="0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</w:pPr>
      <w:r>
        <w:rPr>
          <w:rFonts w:hint="default" w:ascii="Calibri" w:hAnsi="Calibri" w:eastAsia="Helvetica" w:cs="Calibri"/>
          <w:b w:val="0"/>
          <w:bCs w:val="0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  <w:t>U toku edukativnog dana biće pravljene  pauze - dve kraće u trajanju od 15min i jedna duža u trajanju od 45 minuta. Na kraju svakog predavanja ostavljeno je vreme za diskusiju i pitanja.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u w:val="single"/>
          <w:shd w:val="clear" w:fill="FFFFFF"/>
          <w:lang w:val="en-GB" w:eastAsia="zh-CN" w:bidi="ar"/>
        </w:rPr>
      </w:pP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u w:val="single"/>
          <w:shd w:val="clear" w:fill="FFFFFF"/>
          <w:lang w:val="en-GB" w:eastAsia="zh-CN" w:bidi="ar"/>
        </w:rPr>
        <w:t>Prvi edukativni dan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u w:val="single"/>
          <w:shd w:val="clear" w:fill="FFFFFF"/>
          <w:lang w:val="en-GB" w:eastAsia="zh-CN" w:bidi="ar"/>
        </w:rPr>
        <w:t xml:space="preserve"> biće realizovan </w:t>
      </w: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1D2228"/>
          <w:spacing w:val="0"/>
          <w:kern w:val="0"/>
          <w:sz w:val="24"/>
          <w:szCs w:val="24"/>
          <w:u w:val="single"/>
          <w:shd w:val="clear" w:fill="FFFFFF"/>
          <w:lang w:val="en-GB" w:eastAsia="zh-CN" w:bidi="ar"/>
        </w:rPr>
        <w:t>05.marta 2022. u trajanju od 10h do 18h</w:t>
      </w:r>
      <w:r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u w:val="single"/>
          <w:shd w:val="clear" w:fill="FFFFFF"/>
          <w:lang w:val="en-GB" w:eastAsia="zh-CN" w:bidi="ar"/>
        </w:rPr>
        <w:t xml:space="preserve"> sa sledećim temama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Upoznavanje sa pojmom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sindroma otuđenja od roditelja i istorijski razvoj pojma.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Pokazatelji otuđenja od roditelja i nivoi otuđenja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.Detaljan prikaz manifestacija otuđenja preko kojih je moguće dijagnostikovati postojanje psihološke manipulacije i nasilja nad detetom, kao i nivoi otuđenosti na kojima se dete može naći u zavisnosti od dužine trajanja alijenacije i težine postupaka roditelja-otuđivača.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Objašnjenje procesa otuđenja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zasnovan na teoriji afektivne vezanosti. Prikaz modela Krega Čildresa, jednog od vodećih naučnika u oblasti alijenacije, zasnovan na teoriji afektivnog vezivanja. Pojašnjenje pojmova afektivne vezanosti važnih za razumevanje psihopatoloških procesa koji se odvijaju kod roditelja-otuđivača i njihov destruktivni uticaj na roditeljstvo.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Posledice otuđenja od roditelja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.Psihološke razvojne i trajne posledice po dete izloženo otuđivanju. Posledice po razvoj ličnosti i identiteta deteta. Posledice i problemi u ponašanju i doživljaju sebe i drugih.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Kako u praksi izgleda proces otuđenja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Vrste otuđivača/alijenatora (prema težini postupaka i prisutnoj psihopatologiji roditelja nasilnika) i detaljan prikaz ponašanja koja takvi roditelji preduzimaju u psihološkom nasilju nad detetom. Reagovanje i karakteristična depresivna klinička slika targetiranih roditelja (protiv kojih je usmereno otuđivanje) kao rezultat izloženosti nasilju.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Problemi i prepreke kod otkrivanja procesa alijenacije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Teškoće u radu sa decom žrtvama alijenacije.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Modeli intervencija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koji se primenjuju u svetu. Prikazi najvažnih modela intervencije razvijenih u svetu u oblasti zaštite dece od roditeljskog otuđenja i programi rekonekcije odnosa sa otuđenim roditeljem - Family bridges program ( Voršak), Overcomming barriers Family Camp ( Salivan), Multimodalna porodična intervencija (Fridlender i Volter), Zauber i Forkenklajn model intervencije.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>Drugi edukativni dan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 xml:space="preserve"> biće realizovan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>19.marta 2022. godine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 xml:space="preserve"> u trajanju od 10h do 18h i posvećen je radu sa decom sa sledećim temama: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Razlikovanje alijenacije od drugih oblika zlostavljanja i zanemarivanja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Detaljan prikaz dijagnostičkih pokazatelja alijenacije i njihova distinkcija u odnosu na druge vrste zlostavljanja sa sličnim elementima u ponašanju roditelja i deteta izloženog nasilju. Kada je odbacivanje roditelja opravdano a kada je reč o alijenaciji?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Dijagnostikovanje alijenacije – istražiteljski pristup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Uzimanje iskaza. Pozicija deteta. Faza prikupljanja heteroanamnestičkih podataka. Analiza sadržaja. Verodostojnost iskaza.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Glas otuđenog deteta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Naučna istraživanja o perspektivi odraslih koji su kao deca bili otuđeni od roditelja.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Kako razumeti i raditi sa otuđenim detetom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Primeri iz prakse.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GB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Psihoterapijski rad sa decom žrtvama otuđivanja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– konstruktivistička perspektiva. Pojmovi konstruktivističke psihoterapije relevantni za rad sa alijeniranom decom. Specifičnosti u radu sa decom žrtvama alijenacije. Predlog terapijskog plana. Detaljan prikaz konstruktivističkih tehnika u radu sa decom primenljivih u navedenoj problematici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GB"/>
        </w:rPr>
        <w:t>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>Treći edukativni dan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 xml:space="preserve"> biće realizovan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 xml:space="preserve"> 02.aprila 2022. godine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u w:val="single"/>
          <w:lang w:val="en-GB"/>
        </w:rPr>
        <w:t xml:space="preserve"> u trajanju od 10h do 18h i posvećen je radu sa roditeljima sa sledećim temama: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Rizici, teškoće i etičke dileme.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Slika targetiranog (otuđenog) roditelja koju vidi </w:t>
      </w:r>
      <w:bookmarkStart w:id="0" w:name="_GoBack"/>
      <w:bookmarkEnd w:id="0"/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savetnik/socijalni radnik. Zašto je targetirani roditelj „polomljena“ osoba. Efekat posmatrača – razlozi neprepoznavanja, nereagovanja i ulaženja u koaliciju sa nasilnikom. Zablude i stranputice u rešavanju problema alijenacije.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Terapijske intervencije u radu sa targetiranim roditeljima.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Konstruktivističke tehnike u radu sa targetiranim roditeljima. Detaljan prikaz sa primerima iz prakse - terapija utvrđenom ulogom, palijativne tehnike.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Uticaj otuđenja na targetirane roditelje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Psihološke posledice otuđenja kod targetiranih roditelja. Razvod kao proces. Uloga pravosuđa. Uloga pomagačkih profesija.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Perspektiva targetiranog roditelja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 Prikaz relevantnih istraživanja o iskustvima targetiranih roditelja.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Faktori uspeha u reuspostavljanju odnosa dete – roditelj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GB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Prikaz studije slučaja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iz prakse autora programa.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Calibri" w:hAnsi="Calibri" w:eastAsia="Helvetica" w:cs="Calibri"/>
          <w:i w:val="0"/>
          <w:iCs w:val="0"/>
          <w:caps w:val="0"/>
          <w:color w:val="1D2228"/>
          <w:spacing w:val="0"/>
          <w:kern w:val="0"/>
          <w:sz w:val="24"/>
          <w:szCs w:val="24"/>
          <w:shd w:val="clear" w:fill="FFFFFF"/>
          <w:lang w:val="en-GB" w:eastAsia="zh-CN" w:bidi="ar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F1E06"/>
    <w:rsid w:val="12C238B1"/>
    <w:rsid w:val="1B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38163</dc:creator>
  <cp:lastModifiedBy>Udomljavanje Pasa</cp:lastModifiedBy>
  <dcterms:modified xsi:type="dcterms:W3CDTF">2022-02-18T12:37:06Z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96E3A43112244BCDAD8C2322D6F7BF5B</vt:lpwstr>
  </property>
</Properties>
</file>