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1A3" w:rsidRPr="001B2128" w:rsidRDefault="007251A3" w:rsidP="007251A3">
      <w:pPr>
        <w:pStyle w:val="Title"/>
        <w:spacing w:before="60"/>
        <w:rPr>
          <w:rFonts w:cs="Arial"/>
          <w:b w:val="0"/>
          <w:bCs/>
          <w:szCs w:val="24"/>
          <w:lang w:val="sr-Latn-ME"/>
        </w:rPr>
      </w:pPr>
    </w:p>
    <w:p w:rsidR="007251A3" w:rsidRPr="001B2128" w:rsidRDefault="007251A3" w:rsidP="007251A3">
      <w:pPr>
        <w:pStyle w:val="Header"/>
        <w:jc w:val="center"/>
        <w:rPr>
          <w:rFonts w:cs="Arial"/>
          <w:sz w:val="28"/>
          <w:szCs w:val="28"/>
          <w:lang w:val="sr-Latn-ME"/>
        </w:rPr>
      </w:pPr>
      <w:r w:rsidRPr="001B2128">
        <w:rPr>
          <w:noProof/>
          <w:sz w:val="24"/>
          <w:szCs w:val="24"/>
          <w:lang w:val="sr-Latn-ME"/>
        </w:rPr>
        <w:drawing>
          <wp:inline distT="0" distB="0" distL="0" distR="0">
            <wp:extent cx="800100" cy="876300"/>
            <wp:effectExtent l="0" t="0" r="0" b="0"/>
            <wp:docPr id="1" name="Picture 1" descr="1095344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09534422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876300"/>
                    </a:xfrm>
                    <a:prstGeom prst="rect">
                      <a:avLst/>
                    </a:prstGeom>
                    <a:noFill/>
                    <a:ln>
                      <a:noFill/>
                    </a:ln>
                  </pic:spPr>
                </pic:pic>
              </a:graphicData>
            </a:graphic>
          </wp:inline>
        </w:drawing>
      </w:r>
    </w:p>
    <w:p w:rsidR="007251A3" w:rsidRPr="001B2128" w:rsidRDefault="007251A3" w:rsidP="007251A3">
      <w:pPr>
        <w:jc w:val="center"/>
        <w:rPr>
          <w:sz w:val="24"/>
          <w:lang w:val="sr-Latn-ME"/>
        </w:rPr>
      </w:pPr>
      <w:r w:rsidRPr="001B2128">
        <w:rPr>
          <w:sz w:val="24"/>
          <w:lang w:val="sr-Latn-ME"/>
        </w:rPr>
        <w:t>VLADA CRNE GORE</w:t>
      </w:r>
    </w:p>
    <w:p w:rsidR="007251A3" w:rsidRPr="001B2128" w:rsidRDefault="007251A3" w:rsidP="007251A3">
      <w:pPr>
        <w:jc w:val="center"/>
        <w:rPr>
          <w:sz w:val="24"/>
          <w:lang w:val="sr-Latn-ME"/>
        </w:rPr>
      </w:pPr>
      <w:r w:rsidRPr="001B2128">
        <w:rPr>
          <w:sz w:val="24"/>
          <w:lang w:val="sr-Latn-ME"/>
        </w:rPr>
        <w:t>ZAVOD ZA SOCIJALNU I DJEČJU ZAŠTITU</w:t>
      </w:r>
    </w:p>
    <w:p w:rsidR="007251A3" w:rsidRPr="001B2128" w:rsidRDefault="007251A3" w:rsidP="007251A3">
      <w:pPr>
        <w:rPr>
          <w:lang w:val="sr-Latn-ME"/>
        </w:rPr>
      </w:pPr>
    </w:p>
    <w:p w:rsidR="007251A3" w:rsidRPr="001B2128" w:rsidRDefault="007251A3" w:rsidP="007251A3">
      <w:pPr>
        <w:rPr>
          <w:lang w:val="sr-Latn-ME"/>
        </w:rPr>
      </w:pPr>
    </w:p>
    <w:p w:rsidR="007251A3" w:rsidRPr="001B2128" w:rsidRDefault="007251A3" w:rsidP="007251A3">
      <w:pPr>
        <w:rPr>
          <w:lang w:val="sr-Latn-ME"/>
        </w:rPr>
      </w:pPr>
    </w:p>
    <w:p w:rsidR="007251A3" w:rsidRPr="001B2128" w:rsidRDefault="007251A3" w:rsidP="007251A3">
      <w:pPr>
        <w:rPr>
          <w:lang w:val="sr-Latn-ME"/>
        </w:rPr>
      </w:pPr>
    </w:p>
    <w:p w:rsidR="007251A3" w:rsidRPr="001B2128" w:rsidRDefault="007251A3" w:rsidP="007251A3">
      <w:pPr>
        <w:rPr>
          <w:lang w:val="sr-Latn-ME"/>
        </w:rPr>
      </w:pPr>
    </w:p>
    <w:p w:rsidR="007251A3" w:rsidRPr="001B2128" w:rsidRDefault="007251A3" w:rsidP="007251A3">
      <w:pPr>
        <w:rPr>
          <w:lang w:val="sr-Latn-ME"/>
        </w:rPr>
      </w:pPr>
    </w:p>
    <w:p w:rsidR="007251A3" w:rsidRPr="001B2128" w:rsidRDefault="007251A3" w:rsidP="007251A3">
      <w:pPr>
        <w:pStyle w:val="NoSpacing"/>
        <w:rPr>
          <w:lang w:val="sr-Latn-ME"/>
        </w:rPr>
      </w:pPr>
    </w:p>
    <w:p w:rsidR="007251A3" w:rsidRPr="001B2128" w:rsidRDefault="00CB3B29" w:rsidP="007251A3">
      <w:pPr>
        <w:pStyle w:val="NoSpacing"/>
        <w:rPr>
          <w:lang w:val="sr-Latn-ME"/>
        </w:rPr>
      </w:pPr>
      <w:r w:rsidRPr="001B2128">
        <w:rPr>
          <w:lang w:val="sr-Latn-ME"/>
        </w:rPr>
        <w:t>REGISTAR RIZIKA ZAVODA ZA SOCIJALNU I DJEČJU ZAŠTITU</w:t>
      </w:r>
    </w:p>
    <w:p w:rsidR="007251A3" w:rsidRPr="001B2128" w:rsidRDefault="007251A3" w:rsidP="007251A3">
      <w:pPr>
        <w:rPr>
          <w:lang w:val="sr-Latn-ME"/>
        </w:rPr>
      </w:pPr>
    </w:p>
    <w:p w:rsidR="007251A3" w:rsidRPr="001B2128" w:rsidRDefault="007251A3" w:rsidP="007251A3">
      <w:pPr>
        <w:rPr>
          <w:lang w:val="sr-Latn-ME"/>
        </w:rPr>
      </w:pPr>
    </w:p>
    <w:p w:rsidR="007251A3" w:rsidRPr="001B2128" w:rsidRDefault="007251A3" w:rsidP="007251A3">
      <w:pPr>
        <w:rPr>
          <w:lang w:val="sr-Latn-ME"/>
        </w:rPr>
      </w:pPr>
    </w:p>
    <w:p w:rsidR="007251A3" w:rsidRPr="001B2128" w:rsidRDefault="007251A3" w:rsidP="007251A3">
      <w:pPr>
        <w:rPr>
          <w:lang w:val="sr-Latn-ME"/>
        </w:rPr>
      </w:pPr>
    </w:p>
    <w:p w:rsidR="007251A3" w:rsidRPr="001B2128" w:rsidRDefault="007251A3" w:rsidP="007251A3">
      <w:pPr>
        <w:rPr>
          <w:lang w:val="sr-Latn-ME"/>
        </w:rPr>
      </w:pPr>
    </w:p>
    <w:p w:rsidR="007251A3" w:rsidRPr="001B2128" w:rsidRDefault="007251A3" w:rsidP="007251A3">
      <w:pPr>
        <w:rPr>
          <w:lang w:val="sr-Latn-ME"/>
        </w:rPr>
      </w:pPr>
    </w:p>
    <w:p w:rsidR="00D346C3" w:rsidRPr="001B2128" w:rsidRDefault="00D346C3" w:rsidP="007251A3">
      <w:pPr>
        <w:rPr>
          <w:lang w:val="sr-Latn-ME"/>
        </w:rPr>
      </w:pPr>
    </w:p>
    <w:p w:rsidR="00D346C3" w:rsidRPr="001B2128" w:rsidRDefault="00D346C3" w:rsidP="007251A3">
      <w:pPr>
        <w:rPr>
          <w:lang w:val="sr-Latn-ME"/>
        </w:rPr>
      </w:pPr>
    </w:p>
    <w:p w:rsidR="007251A3" w:rsidRPr="001B2128" w:rsidRDefault="007251A3" w:rsidP="007251A3">
      <w:pPr>
        <w:rPr>
          <w:lang w:val="sr-Latn-ME"/>
        </w:rPr>
      </w:pPr>
    </w:p>
    <w:p w:rsidR="007251A3" w:rsidRPr="001B2128" w:rsidRDefault="007251A3" w:rsidP="007251A3">
      <w:pPr>
        <w:rPr>
          <w:lang w:val="sr-Latn-ME"/>
        </w:rPr>
      </w:pPr>
    </w:p>
    <w:p w:rsidR="007251A3" w:rsidRPr="001B2128" w:rsidRDefault="007251A3" w:rsidP="007251A3">
      <w:pPr>
        <w:rPr>
          <w:lang w:val="sr-Latn-ME"/>
        </w:rPr>
      </w:pPr>
    </w:p>
    <w:p w:rsidR="007251A3" w:rsidRPr="001B2128" w:rsidRDefault="007251A3" w:rsidP="007251A3">
      <w:pPr>
        <w:jc w:val="center"/>
        <w:rPr>
          <w:lang w:val="sr-Latn-ME"/>
        </w:rPr>
      </w:pPr>
      <w:r w:rsidRPr="001B2128">
        <w:rPr>
          <w:lang w:val="sr-Latn-ME"/>
        </w:rPr>
        <w:t xml:space="preserve">Podgorica, </w:t>
      </w:r>
      <w:r w:rsidR="00CB187A" w:rsidRPr="001B2128">
        <w:rPr>
          <w:lang w:val="sr-Latn-ME"/>
        </w:rPr>
        <w:t>oktobar 2023</w:t>
      </w:r>
      <w:r w:rsidR="006C7037" w:rsidRPr="001B2128">
        <w:rPr>
          <w:lang w:val="sr-Latn-ME"/>
        </w:rPr>
        <w:t>.godine</w:t>
      </w:r>
    </w:p>
    <w:p w:rsidR="00047655" w:rsidRPr="001B2128" w:rsidRDefault="00302EDB" w:rsidP="00047655">
      <w:pPr>
        <w:spacing w:line="240" w:lineRule="atLeast"/>
        <w:ind w:left="-142"/>
        <w:contextualSpacing/>
        <w:jc w:val="both"/>
        <w:rPr>
          <w:rFonts w:ascii="Arial" w:hAnsi="Arial" w:cs="Arial"/>
          <w:lang w:val="sr-Latn-ME"/>
        </w:rPr>
      </w:pPr>
      <w:r w:rsidRPr="001B2128">
        <w:rPr>
          <w:rFonts w:ascii="Arial" w:hAnsi="Arial" w:cs="Arial"/>
          <w:lang w:val="sr-Latn-ME"/>
        </w:rPr>
        <w:lastRenderedPageBreak/>
        <w:t>U skladu sa članom 14 Zakona o upravljanju i unutrašnjim kontrolama u javnom sektoru</w:t>
      </w:r>
      <w:r w:rsidR="00047655" w:rsidRPr="001B2128">
        <w:rPr>
          <w:rFonts w:ascii="Arial" w:hAnsi="Arial" w:cs="Arial"/>
          <w:lang w:val="sr-Latn-ME"/>
        </w:rPr>
        <w:t>(”Sl. list CG", br.75/18)</w:t>
      </w:r>
      <w:r w:rsidRPr="001B2128">
        <w:rPr>
          <w:rFonts w:ascii="Arial" w:hAnsi="Arial" w:cs="Arial"/>
          <w:lang w:val="sr-Latn-ME"/>
        </w:rPr>
        <w:t xml:space="preserve"> </w:t>
      </w:r>
      <w:r w:rsidR="00CB187A" w:rsidRPr="001B2128">
        <w:rPr>
          <w:rFonts w:ascii="Arial" w:hAnsi="Arial" w:cs="Arial"/>
          <w:lang w:val="sr-Latn-ME"/>
        </w:rPr>
        <w:t>,</w:t>
      </w:r>
      <w:r w:rsidRPr="001B2128">
        <w:rPr>
          <w:rFonts w:ascii="Arial" w:hAnsi="Arial" w:cs="Arial"/>
          <w:lang w:val="sr-Latn-ME"/>
        </w:rPr>
        <w:t xml:space="preserve"> članom 9 Pravilnika o načinu i postupku uspostavljanja i sprovođenja finansijskog upravljanja i kontrola (“Službeni list Crne Gore”, broj: 37/10) i Smjernicama za uspostavljanje i sprovođenje procesa upravljanja rizicima u subjektima javnog sektora (četvrto izdanje, decembar 2018. godine), donosi se Registar rizika Zavoda za socijalnu i dječju zaštitu.</w:t>
      </w:r>
      <w:r w:rsidR="00047655" w:rsidRPr="001B2128">
        <w:rPr>
          <w:rFonts w:ascii="Arial" w:hAnsi="Arial" w:cs="Arial"/>
          <w:lang w:val="sr-Latn-ME"/>
        </w:rPr>
        <w:t xml:space="preserve"> </w:t>
      </w:r>
    </w:p>
    <w:p w:rsidR="00047655" w:rsidRPr="001B2128" w:rsidRDefault="00047655" w:rsidP="00047655">
      <w:pPr>
        <w:spacing w:line="240" w:lineRule="atLeast"/>
        <w:ind w:left="-142"/>
        <w:contextualSpacing/>
        <w:jc w:val="both"/>
        <w:rPr>
          <w:rFonts w:ascii="Arial" w:hAnsi="Arial" w:cs="Arial"/>
          <w:lang w:val="sr-Latn-ME"/>
        </w:rPr>
      </w:pPr>
      <w:r w:rsidRPr="001B2128">
        <w:rPr>
          <w:rFonts w:ascii="Arial" w:hAnsi="Arial" w:cs="Arial"/>
          <w:lang w:val="sr-Latn-ME"/>
        </w:rPr>
        <w:t>Upravljanje rizicima u skladu sa Zakonom o upravljanju i unutrašnjim kontrolama u javnom sektoru obuhvata postupak identifikacije, procjene i praćenja događaja, koji mogu negativno uticati na ostvarivanje utvrđenih poslovnih ciljeva subjekta i preduzimanje potrebnih mjera radi smanjenja rizika do nivoa razumne uvjerenosti da će ciljevi biti ostvareni.</w:t>
      </w:r>
    </w:p>
    <w:p w:rsidR="00302EDB" w:rsidRPr="001B2128" w:rsidRDefault="00302EDB" w:rsidP="00302EDB">
      <w:pPr>
        <w:spacing w:line="240" w:lineRule="atLeast"/>
        <w:ind w:left="-142"/>
        <w:contextualSpacing/>
        <w:jc w:val="both"/>
        <w:rPr>
          <w:rFonts w:ascii="Arial" w:hAnsi="Arial" w:cs="Arial"/>
          <w:lang w:val="sr-Latn-ME"/>
        </w:rPr>
      </w:pPr>
    </w:p>
    <w:p w:rsidR="00E70B07" w:rsidRPr="001B2128" w:rsidRDefault="00302EDB" w:rsidP="00E70B07">
      <w:pPr>
        <w:spacing w:line="240" w:lineRule="atLeast"/>
        <w:ind w:left="-142"/>
        <w:contextualSpacing/>
        <w:jc w:val="both"/>
        <w:rPr>
          <w:rFonts w:ascii="Arial" w:hAnsi="Arial" w:cs="Arial"/>
          <w:lang w:val="sr-Latn-ME"/>
        </w:rPr>
      </w:pPr>
      <w:r w:rsidRPr="001B2128">
        <w:rPr>
          <w:rFonts w:ascii="Arial" w:hAnsi="Arial" w:cs="Arial"/>
          <w:lang w:val="sr-Latn-ME"/>
        </w:rPr>
        <w:t xml:space="preserve">Zakon o upravljanju i unutrašnjim kontrolama u javnom sektoru rizik definiše kao mogućnost nastanka događaja koji može nepovoljno uticati na ostvarenje postavljenih ciljeva subjekta. lsto tako, rizik je: </w:t>
      </w:r>
    </w:p>
    <w:p w:rsidR="00E70B07" w:rsidRPr="001B2128" w:rsidRDefault="00302EDB" w:rsidP="00E70B07">
      <w:pPr>
        <w:pStyle w:val="ListParagraph"/>
        <w:numPr>
          <w:ilvl w:val="0"/>
          <w:numId w:val="12"/>
        </w:numPr>
        <w:spacing w:line="240" w:lineRule="atLeast"/>
        <w:jc w:val="both"/>
        <w:rPr>
          <w:rFonts w:ascii="Arial" w:hAnsi="Arial" w:cs="Arial"/>
          <w:lang w:val="sr-Latn-ME"/>
        </w:rPr>
      </w:pPr>
      <w:r w:rsidRPr="001B2128">
        <w:rPr>
          <w:rFonts w:ascii="Arial" w:hAnsi="Arial" w:cs="Arial"/>
          <w:lang w:val="sr-Latn-ME"/>
        </w:rPr>
        <w:t>sve što predstavlja prijetnju ostvarivanju ciljeva subjekta, program</w:t>
      </w:r>
      <w:r w:rsidR="008439FB" w:rsidRPr="001B2128">
        <w:rPr>
          <w:rFonts w:ascii="Arial" w:hAnsi="Arial" w:cs="Arial"/>
          <w:lang w:val="sr-Latn-ME"/>
        </w:rPr>
        <w:t>a ili pružanju usluga građanima</w:t>
      </w:r>
    </w:p>
    <w:p w:rsidR="00E70B07" w:rsidRPr="001B2128" w:rsidRDefault="00302EDB" w:rsidP="00E70B07">
      <w:pPr>
        <w:pStyle w:val="ListParagraph"/>
        <w:numPr>
          <w:ilvl w:val="0"/>
          <w:numId w:val="12"/>
        </w:numPr>
        <w:spacing w:line="240" w:lineRule="atLeast"/>
        <w:jc w:val="both"/>
        <w:rPr>
          <w:rFonts w:ascii="Arial" w:hAnsi="Arial" w:cs="Arial"/>
          <w:lang w:val="sr-Latn-ME"/>
        </w:rPr>
      </w:pPr>
      <w:r w:rsidRPr="001B2128">
        <w:rPr>
          <w:rFonts w:ascii="Arial" w:hAnsi="Arial" w:cs="Arial"/>
          <w:lang w:val="sr-Latn-ME"/>
        </w:rPr>
        <w:t>sve što može da ugrozi ugled</w:t>
      </w:r>
      <w:r w:rsidR="008439FB" w:rsidRPr="001B2128">
        <w:rPr>
          <w:rFonts w:ascii="Arial" w:hAnsi="Arial" w:cs="Arial"/>
          <w:lang w:val="sr-Latn-ME"/>
        </w:rPr>
        <w:t xml:space="preserve"> subjekta i povjerenje javnosti</w:t>
      </w:r>
      <w:r w:rsidRPr="001B2128">
        <w:rPr>
          <w:rFonts w:ascii="Arial" w:hAnsi="Arial" w:cs="Arial"/>
          <w:lang w:val="sr-Latn-ME"/>
        </w:rPr>
        <w:t xml:space="preserve"> </w:t>
      </w:r>
    </w:p>
    <w:p w:rsidR="00E70B07" w:rsidRPr="001B2128" w:rsidRDefault="00302EDB" w:rsidP="00E70B07">
      <w:pPr>
        <w:pStyle w:val="ListParagraph"/>
        <w:numPr>
          <w:ilvl w:val="0"/>
          <w:numId w:val="12"/>
        </w:numPr>
        <w:spacing w:line="240" w:lineRule="atLeast"/>
        <w:jc w:val="both"/>
        <w:rPr>
          <w:rFonts w:ascii="Arial" w:hAnsi="Arial" w:cs="Arial"/>
          <w:lang w:val="sr-Latn-ME"/>
        </w:rPr>
      </w:pPr>
      <w:r w:rsidRPr="001B2128">
        <w:rPr>
          <w:rFonts w:ascii="Arial" w:hAnsi="Arial" w:cs="Arial"/>
          <w:lang w:val="sr-Latn-ME"/>
        </w:rPr>
        <w:t>gubitak ili oštećenje imovine zbog nedovoljne zaštite od nedoličnog ponašanja, zloupotrebe, pogrešne prakse, štet</w:t>
      </w:r>
      <w:r w:rsidR="008439FB" w:rsidRPr="001B2128">
        <w:rPr>
          <w:rFonts w:ascii="Arial" w:hAnsi="Arial" w:cs="Arial"/>
          <w:lang w:val="sr-Latn-ME"/>
        </w:rPr>
        <w:t>e, nepoštovanje propisa</w:t>
      </w:r>
      <w:r w:rsidRPr="001B2128">
        <w:rPr>
          <w:rFonts w:ascii="Arial" w:hAnsi="Arial" w:cs="Arial"/>
          <w:lang w:val="sr-Latn-ME"/>
        </w:rPr>
        <w:t xml:space="preserve"> </w:t>
      </w:r>
    </w:p>
    <w:p w:rsidR="00E70B07" w:rsidRPr="001B2128" w:rsidRDefault="00302EDB" w:rsidP="00E70B07">
      <w:pPr>
        <w:pStyle w:val="ListParagraph"/>
        <w:numPr>
          <w:ilvl w:val="0"/>
          <w:numId w:val="12"/>
        </w:numPr>
        <w:spacing w:line="240" w:lineRule="atLeast"/>
        <w:jc w:val="both"/>
        <w:rPr>
          <w:rFonts w:ascii="Arial" w:hAnsi="Arial" w:cs="Arial"/>
          <w:lang w:val="sr-Latn-ME"/>
        </w:rPr>
      </w:pPr>
      <w:r w:rsidRPr="001B2128">
        <w:rPr>
          <w:rFonts w:ascii="Arial" w:hAnsi="Arial" w:cs="Arial"/>
          <w:lang w:val="sr-Latn-ME"/>
        </w:rPr>
        <w:t>donošenje pogrešnih odluka zbog nepouzd</w:t>
      </w:r>
      <w:r w:rsidR="008439FB" w:rsidRPr="001B2128">
        <w:rPr>
          <w:rFonts w:ascii="Arial" w:hAnsi="Arial" w:cs="Arial"/>
          <w:lang w:val="sr-Latn-ME"/>
        </w:rPr>
        <w:t>anog finansijskog izvještavanja i</w:t>
      </w:r>
      <w:r w:rsidRPr="001B2128">
        <w:rPr>
          <w:rFonts w:ascii="Arial" w:hAnsi="Arial" w:cs="Arial"/>
          <w:lang w:val="sr-Latn-ME"/>
        </w:rPr>
        <w:t xml:space="preserve"> </w:t>
      </w:r>
    </w:p>
    <w:p w:rsidR="00E70B07" w:rsidRPr="001B2128" w:rsidRDefault="00302EDB" w:rsidP="00E70B07">
      <w:pPr>
        <w:pStyle w:val="ListParagraph"/>
        <w:numPr>
          <w:ilvl w:val="0"/>
          <w:numId w:val="12"/>
        </w:numPr>
        <w:spacing w:line="240" w:lineRule="atLeast"/>
        <w:jc w:val="both"/>
        <w:rPr>
          <w:rFonts w:ascii="Arial" w:hAnsi="Arial" w:cs="Arial"/>
          <w:lang w:val="sr-Latn-ME"/>
        </w:rPr>
      </w:pPr>
      <w:r w:rsidRPr="001B2128">
        <w:rPr>
          <w:rFonts w:ascii="Arial" w:hAnsi="Arial" w:cs="Arial"/>
          <w:lang w:val="sr-Latn-ME"/>
        </w:rPr>
        <w:t>nesposobnost blagovremenog reagovanja na izmijenjene okolnosti.</w:t>
      </w:r>
    </w:p>
    <w:p w:rsidR="00E70B07" w:rsidRPr="001B2128" w:rsidRDefault="00302EDB" w:rsidP="00E70B07">
      <w:pPr>
        <w:spacing w:line="240" w:lineRule="atLeast"/>
        <w:ind w:left="-142"/>
        <w:contextualSpacing/>
        <w:jc w:val="both"/>
        <w:rPr>
          <w:rFonts w:ascii="Arial" w:hAnsi="Arial" w:cs="Arial"/>
          <w:lang w:val="sr-Latn-ME"/>
        </w:rPr>
      </w:pPr>
      <w:r w:rsidRPr="001B2128">
        <w:rPr>
          <w:rFonts w:ascii="Arial" w:hAnsi="Arial" w:cs="Arial"/>
          <w:lang w:val="sr-Latn-ME"/>
        </w:rPr>
        <w:t xml:space="preserve">Cilj upravljanja rizicima jeste da se smanji obim neizvjesnosti koje bi mogle biti prijetnja </w:t>
      </w:r>
      <w:r w:rsidR="00E70B07" w:rsidRPr="001B2128">
        <w:rPr>
          <w:rFonts w:ascii="Arial" w:hAnsi="Arial" w:cs="Arial"/>
          <w:lang w:val="sr-Latn-ME"/>
        </w:rPr>
        <w:t>poslovnoj uspješnosti subjekata.</w:t>
      </w:r>
    </w:p>
    <w:p w:rsidR="00E70B07" w:rsidRPr="001B2128" w:rsidRDefault="00302EDB" w:rsidP="00E70B07">
      <w:pPr>
        <w:spacing w:line="240" w:lineRule="atLeast"/>
        <w:ind w:left="-142"/>
        <w:contextualSpacing/>
        <w:jc w:val="both"/>
        <w:rPr>
          <w:rFonts w:ascii="Arial" w:hAnsi="Arial" w:cs="Arial"/>
          <w:lang w:val="sr-Latn-ME"/>
        </w:rPr>
      </w:pPr>
      <w:r w:rsidRPr="001B2128">
        <w:rPr>
          <w:rFonts w:ascii="Arial" w:hAnsi="Arial" w:cs="Arial"/>
          <w:lang w:val="sr-Latn-ME"/>
        </w:rPr>
        <w:t>Upravljanje rizicima je alat koji rukovodstvu pomaže da predvidi izmijenjene okolnosti i da na njih reaguje blagovremeno.</w:t>
      </w:r>
      <w:r w:rsidR="00104357" w:rsidRPr="001B2128">
        <w:rPr>
          <w:rFonts w:ascii="Arial" w:hAnsi="Arial" w:cs="Arial"/>
          <w:lang w:val="sr-Latn-ME"/>
        </w:rPr>
        <w:t xml:space="preserve"> </w:t>
      </w:r>
      <w:r w:rsidRPr="001B2128">
        <w:rPr>
          <w:rFonts w:ascii="Arial" w:hAnsi="Arial" w:cs="Arial"/>
          <w:lang w:val="sr-Latn-ME"/>
        </w:rPr>
        <w:t>Upravljanje rizicima omogućava da se predvide mogućnosti nepovoljnih okolnosti ili događaji koji bi mogli spriječiti  ostvarivanje ciljeva subjekta i unutrašnje kontrole i ograničeni resursi usmjere na ključne rizike</w:t>
      </w:r>
      <w:r w:rsidR="00E70B07" w:rsidRPr="001B2128">
        <w:rPr>
          <w:rFonts w:ascii="Arial" w:hAnsi="Arial" w:cs="Arial"/>
          <w:lang w:val="sr-Latn-ME"/>
        </w:rPr>
        <w:t xml:space="preserve"> u poslovnim procesima.</w:t>
      </w:r>
    </w:p>
    <w:p w:rsidR="00E70B07" w:rsidRPr="001B2128" w:rsidRDefault="00302EDB" w:rsidP="008439FB">
      <w:pPr>
        <w:spacing w:line="240" w:lineRule="atLeast"/>
        <w:ind w:left="-142"/>
        <w:contextualSpacing/>
        <w:jc w:val="both"/>
        <w:rPr>
          <w:rFonts w:ascii="Arial" w:hAnsi="Arial" w:cs="Arial"/>
          <w:lang w:val="sr-Latn-ME"/>
        </w:rPr>
      </w:pPr>
      <w:r w:rsidRPr="001B2128">
        <w:rPr>
          <w:rFonts w:ascii="Arial" w:hAnsi="Arial" w:cs="Arial"/>
          <w:lang w:val="sr-Latn-ME"/>
        </w:rPr>
        <w:t xml:space="preserve">Upravljanjem rizicima u Zavodu smanjiće se vjerovatnoća nastanka neželjenih događaja, a ukoliko i nastanu blagovremeno će biti definisan </w:t>
      </w:r>
      <w:r w:rsidR="008D5DE0" w:rsidRPr="001B2128">
        <w:rPr>
          <w:rFonts w:ascii="Arial" w:hAnsi="Arial" w:cs="Arial"/>
          <w:lang w:val="sr-Latn-ME"/>
        </w:rPr>
        <w:t>odgovor na njih. Samim tim će doći do jačanja odgovornosti zaposlenih, poboljšaće se informisanje, dok će kanali komunikacije po</w:t>
      </w:r>
      <w:r w:rsidR="00E70B07" w:rsidRPr="001B2128">
        <w:rPr>
          <w:rFonts w:ascii="Arial" w:hAnsi="Arial" w:cs="Arial"/>
          <w:lang w:val="sr-Latn-ME"/>
        </w:rPr>
        <w:t>stati efektivniji i efikasniji.</w:t>
      </w:r>
      <w:r w:rsidR="008439FB" w:rsidRPr="001B2128">
        <w:rPr>
          <w:rFonts w:ascii="Arial" w:hAnsi="Arial" w:cs="Arial"/>
          <w:lang w:val="sr-Latn-ME"/>
        </w:rPr>
        <w:t xml:space="preserve"> U slučaju pojave rizika na nivou države Zavod će reagovati u skladu sa preporukama </w:t>
      </w:r>
    </w:p>
    <w:p w:rsidR="008439FB" w:rsidRPr="001B2128" w:rsidRDefault="008439FB" w:rsidP="008439FB">
      <w:pPr>
        <w:spacing w:line="240" w:lineRule="atLeast"/>
        <w:ind w:left="-142"/>
        <w:contextualSpacing/>
        <w:jc w:val="both"/>
        <w:rPr>
          <w:rFonts w:ascii="Arial" w:hAnsi="Arial" w:cs="Arial"/>
          <w:lang w:val="sr-Latn-ME"/>
        </w:rPr>
      </w:pPr>
      <w:r w:rsidRPr="001B2128">
        <w:rPr>
          <w:rFonts w:ascii="Arial" w:hAnsi="Arial" w:cs="Arial"/>
          <w:lang w:val="sr-Latn-ME"/>
        </w:rPr>
        <w:t>Vlade Crne Gore.</w:t>
      </w:r>
    </w:p>
    <w:p w:rsidR="008D5DE0" w:rsidRPr="001B2128" w:rsidRDefault="008D5DE0" w:rsidP="00E70B07">
      <w:pPr>
        <w:spacing w:line="240" w:lineRule="atLeast"/>
        <w:ind w:left="-142"/>
        <w:contextualSpacing/>
        <w:jc w:val="both"/>
        <w:rPr>
          <w:rFonts w:ascii="Arial" w:hAnsi="Arial" w:cs="Arial"/>
          <w:lang w:val="sr-Latn-ME"/>
        </w:rPr>
      </w:pPr>
      <w:r w:rsidRPr="001B2128">
        <w:rPr>
          <w:rFonts w:ascii="Arial" w:hAnsi="Arial" w:cs="Arial"/>
          <w:lang w:val="sr-Latn-ME"/>
        </w:rPr>
        <w:t xml:space="preserve">Efikasno upravljanje rizicima obezbjeđuje dobru osnovu u procesu donošenja odluka, sa tačnim, blagovremenim i potpunim informacijama, što dovodi do uspješnog ostvarivanja ciljava Zavoda.  </w:t>
      </w:r>
    </w:p>
    <w:p w:rsidR="008D5DE0" w:rsidRPr="001B2128" w:rsidRDefault="008D5DE0" w:rsidP="00A005CC">
      <w:pPr>
        <w:spacing w:line="240" w:lineRule="atLeast"/>
        <w:ind w:left="-142"/>
        <w:contextualSpacing/>
        <w:jc w:val="both"/>
        <w:rPr>
          <w:rFonts w:ascii="Arial" w:eastAsia="Calibri" w:hAnsi="Arial" w:cs="Arial"/>
          <w:b/>
          <w:lang w:val="sr-Latn-ME"/>
        </w:rPr>
      </w:pPr>
    </w:p>
    <w:p w:rsidR="000707EA" w:rsidRPr="001B2128" w:rsidRDefault="00104357" w:rsidP="00A005CC">
      <w:pPr>
        <w:spacing w:line="240" w:lineRule="atLeast"/>
        <w:ind w:left="-142"/>
        <w:contextualSpacing/>
        <w:jc w:val="both"/>
        <w:rPr>
          <w:rFonts w:ascii="Arial" w:hAnsi="Arial" w:cs="Arial"/>
          <w:lang w:val="sr-Latn-ME"/>
        </w:rPr>
      </w:pPr>
      <w:r w:rsidRPr="001B2128">
        <w:rPr>
          <w:rFonts w:ascii="Arial" w:hAnsi="Arial" w:cs="Arial"/>
          <w:lang w:val="sr-Latn-ME"/>
        </w:rPr>
        <w:t>Starješina organa</w:t>
      </w:r>
      <w:r w:rsidR="008D5DE0" w:rsidRPr="001B2128">
        <w:rPr>
          <w:rFonts w:ascii="Arial" w:hAnsi="Arial" w:cs="Arial"/>
          <w:lang w:val="sr-Latn-ME"/>
        </w:rPr>
        <w:t xml:space="preserve"> odgovoran je za određivanje ciljeva subjekta, izradu i sprovođenje strateških i drugih planova i programa. Samim tim, odgovoran je i za identifikaciju, procjenu i upravljanje rizicima koji mogu ugroziti ostvarivanje ciljeva subjekta, kao i za uvođenje odgovarajućih kontrola za upravljanje rizicima.</w:t>
      </w:r>
    </w:p>
    <w:p w:rsidR="008D5DE0" w:rsidRPr="001B2128" w:rsidRDefault="008D5DE0" w:rsidP="00A005CC">
      <w:pPr>
        <w:spacing w:line="240" w:lineRule="atLeast"/>
        <w:ind w:left="-142"/>
        <w:contextualSpacing/>
        <w:jc w:val="both"/>
        <w:rPr>
          <w:rFonts w:ascii="Arial" w:hAnsi="Arial" w:cs="Arial"/>
          <w:lang w:val="sr-Latn-ME"/>
        </w:rPr>
      </w:pPr>
      <w:r w:rsidRPr="001B2128">
        <w:rPr>
          <w:rFonts w:ascii="Arial" w:hAnsi="Arial" w:cs="Arial"/>
          <w:lang w:val="sr-Latn-ME"/>
        </w:rPr>
        <w:t xml:space="preserve">Da bi se uspostavio adekvatan sistem upravljanja rizicima </w:t>
      </w:r>
      <w:r w:rsidR="000707EA" w:rsidRPr="001B2128">
        <w:rPr>
          <w:rFonts w:ascii="Arial" w:hAnsi="Arial" w:cs="Arial"/>
          <w:lang w:val="sr-Latn-ME"/>
        </w:rPr>
        <w:t xml:space="preserve">direktor Zavoda je Rješenjem broj:     01 - 6/2 od 13. 1. 2020. godine odredio lice </w:t>
      </w:r>
      <w:r w:rsidRPr="001B2128">
        <w:rPr>
          <w:rFonts w:ascii="Arial" w:hAnsi="Arial" w:cs="Arial"/>
          <w:lang w:val="sr-Latn-ME"/>
        </w:rPr>
        <w:t xml:space="preserve">za koordinaciju aktivnosti na uspostavljanju procesa upravljanja rizicima na nivou subjekta, koje treba da: </w:t>
      </w:r>
    </w:p>
    <w:p w:rsidR="008D5DE0" w:rsidRPr="001B2128" w:rsidRDefault="008D5DE0" w:rsidP="00A005CC">
      <w:pPr>
        <w:pStyle w:val="ListParagraph"/>
        <w:numPr>
          <w:ilvl w:val="0"/>
          <w:numId w:val="5"/>
        </w:numPr>
        <w:spacing w:line="240" w:lineRule="atLeast"/>
        <w:jc w:val="both"/>
        <w:rPr>
          <w:rFonts w:ascii="Arial" w:hAnsi="Arial" w:cs="Arial"/>
          <w:lang w:val="sr-Latn-ME"/>
        </w:rPr>
      </w:pPr>
      <w:r w:rsidRPr="001B2128">
        <w:rPr>
          <w:rFonts w:ascii="Arial" w:hAnsi="Arial" w:cs="Arial"/>
          <w:lang w:val="sr-Latn-ME"/>
        </w:rPr>
        <w:t xml:space="preserve">u saradnji sa CHU upozna ostale rukovodioce o potrebi uspostavljanja procesa </w:t>
      </w:r>
      <w:r w:rsidR="008439FB" w:rsidRPr="001B2128">
        <w:rPr>
          <w:rFonts w:ascii="Arial" w:hAnsi="Arial" w:cs="Arial"/>
          <w:lang w:val="sr-Latn-ME"/>
        </w:rPr>
        <w:t>upravljanja rizicima u subjektu</w:t>
      </w:r>
      <w:r w:rsidRPr="001B2128">
        <w:rPr>
          <w:rFonts w:ascii="Arial" w:hAnsi="Arial" w:cs="Arial"/>
          <w:lang w:val="sr-Latn-ME"/>
        </w:rPr>
        <w:t xml:space="preserve"> </w:t>
      </w:r>
    </w:p>
    <w:p w:rsidR="008D5DE0" w:rsidRPr="001B2128" w:rsidRDefault="008D5DE0" w:rsidP="00A005CC">
      <w:pPr>
        <w:pStyle w:val="ListParagraph"/>
        <w:numPr>
          <w:ilvl w:val="0"/>
          <w:numId w:val="5"/>
        </w:numPr>
        <w:spacing w:line="240" w:lineRule="atLeast"/>
        <w:jc w:val="both"/>
        <w:rPr>
          <w:rFonts w:ascii="Arial" w:hAnsi="Arial" w:cs="Arial"/>
          <w:lang w:val="sr-Latn-ME"/>
        </w:rPr>
      </w:pPr>
      <w:r w:rsidRPr="001B2128">
        <w:rPr>
          <w:rFonts w:ascii="Arial" w:hAnsi="Arial" w:cs="Arial"/>
          <w:lang w:val="sr-Latn-ME"/>
        </w:rPr>
        <w:t>podstiče kulturu efektivnog upravljanja rizicima, tako što će davati podršku i jačati svijest zaposlenih o potrebi sistemskog pristupa upravljanju rizicim</w:t>
      </w:r>
      <w:r w:rsidR="008439FB" w:rsidRPr="001B2128">
        <w:rPr>
          <w:rFonts w:ascii="Arial" w:hAnsi="Arial" w:cs="Arial"/>
          <w:lang w:val="sr-Latn-ME"/>
        </w:rPr>
        <w:t>a</w:t>
      </w:r>
      <w:r w:rsidRPr="001B2128">
        <w:rPr>
          <w:rFonts w:ascii="Arial" w:hAnsi="Arial" w:cs="Arial"/>
          <w:lang w:val="sr-Latn-ME"/>
        </w:rPr>
        <w:t xml:space="preserve"> </w:t>
      </w:r>
    </w:p>
    <w:p w:rsidR="008D5DE0" w:rsidRPr="001B2128" w:rsidRDefault="008D5DE0" w:rsidP="00A005CC">
      <w:pPr>
        <w:pStyle w:val="ListParagraph"/>
        <w:numPr>
          <w:ilvl w:val="0"/>
          <w:numId w:val="5"/>
        </w:numPr>
        <w:spacing w:line="240" w:lineRule="atLeast"/>
        <w:jc w:val="both"/>
        <w:rPr>
          <w:rFonts w:ascii="Arial" w:hAnsi="Arial" w:cs="Arial"/>
          <w:lang w:val="sr-Latn-ME"/>
        </w:rPr>
      </w:pPr>
      <w:r w:rsidRPr="001B2128">
        <w:rPr>
          <w:rFonts w:ascii="Arial" w:hAnsi="Arial" w:cs="Arial"/>
          <w:lang w:val="sr-Latn-ME"/>
        </w:rPr>
        <w:t>u saradnji s rukovodiocima organizacionih jedinica započne aktivnosti na uvođenju procesa upravljanja rizicima i zajednički utvrd</w:t>
      </w:r>
      <w:r w:rsidR="008439FB" w:rsidRPr="001B2128">
        <w:rPr>
          <w:rFonts w:ascii="Arial" w:hAnsi="Arial" w:cs="Arial"/>
          <w:lang w:val="sr-Latn-ME"/>
        </w:rPr>
        <w:t>e rokove za pojedine aktivnosti i</w:t>
      </w:r>
      <w:r w:rsidRPr="001B2128">
        <w:rPr>
          <w:rFonts w:ascii="Arial" w:hAnsi="Arial" w:cs="Arial"/>
          <w:lang w:val="sr-Latn-ME"/>
        </w:rPr>
        <w:t xml:space="preserve"> </w:t>
      </w:r>
    </w:p>
    <w:p w:rsidR="0048298C" w:rsidRPr="001B2128" w:rsidRDefault="008D5DE0" w:rsidP="00D346C3">
      <w:pPr>
        <w:pStyle w:val="ListParagraph"/>
        <w:numPr>
          <w:ilvl w:val="0"/>
          <w:numId w:val="5"/>
        </w:numPr>
        <w:spacing w:line="240" w:lineRule="atLeast"/>
        <w:jc w:val="both"/>
        <w:rPr>
          <w:rFonts w:ascii="Arial" w:hAnsi="Arial" w:cs="Arial"/>
          <w:lang w:val="sr-Latn-ME"/>
        </w:rPr>
      </w:pPr>
      <w:r w:rsidRPr="001B2128">
        <w:rPr>
          <w:rFonts w:ascii="Arial" w:hAnsi="Arial" w:cs="Arial"/>
          <w:lang w:val="sr-Latn-ME"/>
        </w:rPr>
        <w:t>pripremi konsolidovani izvještaj o upravljanju rizicima u subjektu.</w:t>
      </w:r>
    </w:p>
    <w:p w:rsidR="008D5DE0" w:rsidRPr="001B2128" w:rsidRDefault="008D5DE0" w:rsidP="00A005CC">
      <w:pPr>
        <w:spacing w:line="240" w:lineRule="atLeast"/>
        <w:ind w:left="-142"/>
        <w:contextualSpacing/>
        <w:jc w:val="both"/>
        <w:rPr>
          <w:rFonts w:ascii="Arial" w:hAnsi="Arial" w:cs="Arial"/>
          <w:lang w:val="sr-Latn-ME"/>
        </w:rPr>
      </w:pPr>
      <w:r w:rsidRPr="001B2128">
        <w:rPr>
          <w:rFonts w:ascii="Arial" w:hAnsi="Arial" w:cs="Arial"/>
          <w:lang w:val="sr-Latn-ME"/>
        </w:rPr>
        <w:lastRenderedPageBreak/>
        <w:t xml:space="preserve">Lice zaduženo za koordinaciju aktivnosti na uspostavljanju procesa upravljanja rizicima nije odgovorno za upravljanje rizicima, već je to odgovornost </w:t>
      </w:r>
      <w:r w:rsidR="00104357" w:rsidRPr="001B2128">
        <w:rPr>
          <w:rFonts w:ascii="Arial" w:hAnsi="Arial" w:cs="Arial"/>
          <w:lang w:val="sr-Latn-ME"/>
        </w:rPr>
        <w:t xml:space="preserve">starješine organa. </w:t>
      </w:r>
    </w:p>
    <w:p w:rsidR="008D3F3E" w:rsidRPr="001B2128" w:rsidRDefault="008D5DE0" w:rsidP="008D3F3E">
      <w:pPr>
        <w:spacing w:line="240" w:lineRule="atLeast"/>
        <w:ind w:left="-142"/>
        <w:contextualSpacing/>
        <w:jc w:val="both"/>
        <w:rPr>
          <w:rFonts w:ascii="Arial" w:hAnsi="Arial" w:cs="Arial"/>
          <w:lang w:val="sr-Latn-ME"/>
        </w:rPr>
      </w:pPr>
      <w:r w:rsidRPr="001B2128">
        <w:rPr>
          <w:rFonts w:ascii="Arial" w:hAnsi="Arial" w:cs="Arial"/>
          <w:lang w:val="sr-Latn-ME"/>
        </w:rPr>
        <w:t xml:space="preserve">Rukovodioci organizacionih jedinica odgovorni su, u okviru prenijetih ovlašćenja, za ostvarivanje ciljeva iz svojih nadležnosti, a time i za upravljanje rizicima. Oni moraju na nivou svojih organizacionih jedinica osigurati uspostavljanje i sprovođenje procesa upravljanja rizicima na način da: </w:t>
      </w:r>
    </w:p>
    <w:p w:rsidR="008D3F3E" w:rsidRPr="001B2128" w:rsidRDefault="008D5DE0" w:rsidP="008D3F3E">
      <w:pPr>
        <w:pStyle w:val="ListParagraph"/>
        <w:numPr>
          <w:ilvl w:val="0"/>
          <w:numId w:val="11"/>
        </w:numPr>
        <w:spacing w:line="240" w:lineRule="atLeast"/>
        <w:jc w:val="both"/>
        <w:rPr>
          <w:rFonts w:ascii="Arial" w:hAnsi="Arial" w:cs="Arial"/>
          <w:lang w:val="sr-Latn-ME"/>
        </w:rPr>
      </w:pPr>
      <w:r w:rsidRPr="001B2128">
        <w:rPr>
          <w:rFonts w:ascii="Arial" w:hAnsi="Arial" w:cs="Arial"/>
          <w:lang w:val="sr-Latn-ME"/>
        </w:rPr>
        <w:t xml:space="preserve">identifikuju rizike u značajnijim poslovnim procesima i aktivnostima u odnosu na ciljeve iz strateških planova, operativnih planova i poslovnih procesa koji su u nadležnosti </w:t>
      </w:r>
      <w:r w:rsidR="00185083" w:rsidRPr="001B2128">
        <w:rPr>
          <w:rFonts w:ascii="Arial" w:hAnsi="Arial" w:cs="Arial"/>
          <w:lang w:val="sr-Latn-ME"/>
        </w:rPr>
        <w:t>njihove organizacione jedinice</w:t>
      </w:r>
    </w:p>
    <w:p w:rsidR="008D3F3E" w:rsidRPr="001B2128" w:rsidRDefault="008D5DE0" w:rsidP="008D3F3E">
      <w:pPr>
        <w:pStyle w:val="ListParagraph"/>
        <w:numPr>
          <w:ilvl w:val="0"/>
          <w:numId w:val="11"/>
        </w:numPr>
        <w:spacing w:line="240" w:lineRule="atLeast"/>
        <w:jc w:val="both"/>
        <w:rPr>
          <w:rFonts w:ascii="Arial" w:hAnsi="Arial" w:cs="Arial"/>
          <w:lang w:val="sr-Latn-ME"/>
        </w:rPr>
      </w:pPr>
      <w:r w:rsidRPr="001B2128">
        <w:rPr>
          <w:rFonts w:ascii="Arial" w:hAnsi="Arial" w:cs="Arial"/>
          <w:lang w:val="sr-Latn-ME"/>
        </w:rPr>
        <w:t xml:space="preserve">procijene vjerovatnoću </w:t>
      </w:r>
      <w:r w:rsidR="00185083" w:rsidRPr="001B2128">
        <w:rPr>
          <w:rFonts w:ascii="Arial" w:hAnsi="Arial" w:cs="Arial"/>
          <w:lang w:val="sr-Latn-ME"/>
        </w:rPr>
        <w:t>nastanka rizika i njegov uticaj</w:t>
      </w:r>
      <w:r w:rsidRPr="001B2128">
        <w:rPr>
          <w:rFonts w:ascii="Arial" w:hAnsi="Arial" w:cs="Arial"/>
          <w:lang w:val="sr-Latn-ME"/>
        </w:rPr>
        <w:t xml:space="preserve"> </w:t>
      </w:r>
    </w:p>
    <w:p w:rsidR="008D3F3E" w:rsidRPr="001B2128" w:rsidRDefault="008D5DE0" w:rsidP="008D3F3E">
      <w:pPr>
        <w:pStyle w:val="ListParagraph"/>
        <w:numPr>
          <w:ilvl w:val="0"/>
          <w:numId w:val="11"/>
        </w:numPr>
        <w:spacing w:line="240" w:lineRule="atLeast"/>
        <w:jc w:val="both"/>
        <w:rPr>
          <w:rFonts w:ascii="Arial" w:hAnsi="Arial" w:cs="Arial"/>
          <w:lang w:val="sr-Latn-ME"/>
        </w:rPr>
      </w:pPr>
      <w:r w:rsidRPr="001B2128">
        <w:rPr>
          <w:rFonts w:ascii="Arial" w:hAnsi="Arial" w:cs="Arial"/>
          <w:lang w:val="sr-Latn-ME"/>
        </w:rPr>
        <w:t>ut</w:t>
      </w:r>
      <w:r w:rsidR="00185083" w:rsidRPr="001B2128">
        <w:rPr>
          <w:rFonts w:ascii="Arial" w:hAnsi="Arial" w:cs="Arial"/>
          <w:lang w:val="sr-Latn-ME"/>
        </w:rPr>
        <w:t>vrde način reagovanja na rizike</w:t>
      </w:r>
      <w:r w:rsidRPr="001B2128">
        <w:rPr>
          <w:rFonts w:ascii="Arial" w:hAnsi="Arial" w:cs="Arial"/>
          <w:lang w:val="sr-Latn-ME"/>
        </w:rPr>
        <w:t xml:space="preserve"> </w:t>
      </w:r>
    </w:p>
    <w:p w:rsidR="008D3F3E" w:rsidRPr="001B2128" w:rsidRDefault="008D5DE0" w:rsidP="008D3F3E">
      <w:pPr>
        <w:pStyle w:val="ListParagraph"/>
        <w:numPr>
          <w:ilvl w:val="0"/>
          <w:numId w:val="11"/>
        </w:numPr>
        <w:spacing w:line="240" w:lineRule="atLeast"/>
        <w:jc w:val="both"/>
        <w:rPr>
          <w:rFonts w:ascii="Arial" w:hAnsi="Arial" w:cs="Arial"/>
          <w:lang w:val="sr-Latn-ME"/>
        </w:rPr>
      </w:pPr>
      <w:r w:rsidRPr="001B2128">
        <w:rPr>
          <w:rFonts w:ascii="Arial" w:hAnsi="Arial" w:cs="Arial"/>
          <w:lang w:val="sr-Latn-ME"/>
        </w:rPr>
        <w:t xml:space="preserve">dokumentuju podatke o rizicima u Registru rizika organizacionih jedinica i </w:t>
      </w:r>
    </w:p>
    <w:p w:rsidR="008D5DE0" w:rsidRPr="001B2128" w:rsidRDefault="008D5DE0" w:rsidP="008D3F3E">
      <w:pPr>
        <w:pStyle w:val="ListParagraph"/>
        <w:numPr>
          <w:ilvl w:val="0"/>
          <w:numId w:val="11"/>
        </w:numPr>
        <w:spacing w:line="240" w:lineRule="atLeast"/>
        <w:jc w:val="both"/>
        <w:rPr>
          <w:rFonts w:ascii="Arial" w:eastAsiaTheme="minorHAnsi" w:hAnsi="Arial" w:cs="Arial"/>
          <w:lang w:val="sr-Latn-ME"/>
        </w:rPr>
      </w:pPr>
      <w:r w:rsidRPr="001B2128">
        <w:rPr>
          <w:rFonts w:ascii="Arial" w:hAnsi="Arial" w:cs="Arial"/>
          <w:lang w:val="sr-Latn-ME"/>
        </w:rPr>
        <w:t>izvještavaju o rizicima.</w:t>
      </w:r>
    </w:p>
    <w:p w:rsidR="008D5DE0" w:rsidRPr="001B2128" w:rsidRDefault="008D5DE0" w:rsidP="008D5DE0">
      <w:pPr>
        <w:spacing w:line="240" w:lineRule="atLeast"/>
        <w:ind w:left="-142"/>
        <w:contextualSpacing/>
        <w:rPr>
          <w:rFonts w:ascii="Arial" w:eastAsia="Calibri" w:hAnsi="Arial" w:cs="Arial"/>
          <w:lang w:val="sr-Latn-ME"/>
        </w:rPr>
      </w:pPr>
      <w:r w:rsidRPr="001B2128">
        <w:rPr>
          <w:rFonts w:ascii="Arial" w:eastAsia="Calibri" w:hAnsi="Arial" w:cs="Arial"/>
          <w:lang w:val="sr-Latn-ME"/>
        </w:rPr>
        <w:t>Upravljanje rizicima podrazumijeva sledeće faze:</w:t>
      </w:r>
    </w:p>
    <w:p w:rsidR="008D5DE0" w:rsidRPr="001B2128" w:rsidRDefault="008D5DE0" w:rsidP="008D5DE0">
      <w:pPr>
        <w:spacing w:line="240" w:lineRule="atLeast"/>
        <w:ind w:left="-142"/>
        <w:contextualSpacing/>
        <w:rPr>
          <w:rFonts w:ascii="Arial" w:eastAsia="Calibri" w:hAnsi="Arial" w:cs="Arial"/>
          <w:lang w:val="sr-Latn-ME"/>
        </w:rPr>
      </w:pPr>
      <w:r w:rsidRPr="001B2128">
        <w:rPr>
          <w:rFonts w:ascii="Arial" w:eastAsia="Calibri" w:hAnsi="Arial" w:cs="Arial"/>
          <w:lang w:val="sr-Latn-ME"/>
        </w:rPr>
        <w:t>1. Identifikacija rizika</w:t>
      </w:r>
    </w:p>
    <w:p w:rsidR="008D5DE0" w:rsidRPr="001B2128" w:rsidRDefault="008D5DE0" w:rsidP="008D5DE0">
      <w:pPr>
        <w:spacing w:line="240" w:lineRule="atLeast"/>
        <w:ind w:left="-142"/>
        <w:contextualSpacing/>
        <w:rPr>
          <w:rFonts w:ascii="Arial" w:eastAsia="Calibri" w:hAnsi="Arial" w:cs="Arial"/>
          <w:lang w:val="sr-Latn-ME"/>
        </w:rPr>
      </w:pPr>
      <w:r w:rsidRPr="001B2128">
        <w:rPr>
          <w:rFonts w:ascii="Arial" w:eastAsia="Calibri" w:hAnsi="Arial" w:cs="Arial"/>
          <w:lang w:val="sr-Latn-ME"/>
        </w:rPr>
        <w:t>2. Analiza i procjena rizika</w:t>
      </w:r>
    </w:p>
    <w:p w:rsidR="008D5DE0" w:rsidRPr="001B2128" w:rsidRDefault="008D5DE0" w:rsidP="008D5DE0">
      <w:pPr>
        <w:spacing w:line="240" w:lineRule="atLeast"/>
        <w:ind w:left="-142"/>
        <w:contextualSpacing/>
        <w:rPr>
          <w:rFonts w:ascii="Arial" w:eastAsia="Calibri" w:hAnsi="Arial" w:cs="Arial"/>
          <w:lang w:val="sr-Latn-ME"/>
        </w:rPr>
      </w:pPr>
      <w:r w:rsidRPr="001B2128">
        <w:rPr>
          <w:rFonts w:ascii="Arial" w:eastAsia="Calibri" w:hAnsi="Arial" w:cs="Arial"/>
          <w:lang w:val="sr-Latn-ME"/>
        </w:rPr>
        <w:t>3. Reagovanje na rizik</w:t>
      </w:r>
    </w:p>
    <w:p w:rsidR="008D5DE0" w:rsidRPr="001B2128" w:rsidRDefault="008D5DE0" w:rsidP="008D5DE0">
      <w:pPr>
        <w:spacing w:line="240" w:lineRule="atLeast"/>
        <w:ind w:left="-142"/>
        <w:contextualSpacing/>
        <w:rPr>
          <w:rFonts w:ascii="Arial" w:eastAsia="Calibri" w:hAnsi="Arial" w:cs="Arial"/>
          <w:lang w:val="sr-Latn-ME"/>
        </w:rPr>
      </w:pPr>
      <w:r w:rsidRPr="001B2128">
        <w:rPr>
          <w:rFonts w:ascii="Arial" w:eastAsia="Calibri" w:hAnsi="Arial" w:cs="Arial"/>
          <w:lang w:val="sr-Latn-ME"/>
        </w:rPr>
        <w:t>4. Praćenje i izvještavanje o rizicima</w:t>
      </w:r>
    </w:p>
    <w:p w:rsidR="008D5DE0" w:rsidRPr="001B2128" w:rsidRDefault="008D5DE0" w:rsidP="008D3F3E">
      <w:pPr>
        <w:spacing w:line="240" w:lineRule="atLeast"/>
        <w:ind w:left="-142"/>
        <w:contextualSpacing/>
        <w:jc w:val="both"/>
        <w:rPr>
          <w:rFonts w:ascii="Arial" w:eastAsia="Calibri" w:hAnsi="Arial" w:cs="Arial"/>
          <w:b/>
          <w:lang w:val="sr-Latn-ME"/>
        </w:rPr>
      </w:pPr>
    </w:p>
    <w:p w:rsidR="0048298C" w:rsidRPr="001B2128" w:rsidRDefault="008D5DE0" w:rsidP="00966BF3">
      <w:pPr>
        <w:spacing w:line="240" w:lineRule="atLeast"/>
        <w:ind w:left="-142"/>
        <w:contextualSpacing/>
        <w:jc w:val="both"/>
        <w:rPr>
          <w:rFonts w:ascii="Arial" w:eastAsia="Calibri" w:hAnsi="Arial" w:cs="Arial"/>
          <w:b/>
          <w:lang w:val="sr-Latn-ME"/>
        </w:rPr>
      </w:pPr>
      <w:r w:rsidRPr="001B2128">
        <w:rPr>
          <w:rFonts w:ascii="Arial" w:hAnsi="Arial" w:cs="Arial"/>
          <w:lang w:val="sr-Latn-ME"/>
        </w:rPr>
        <w:t xml:space="preserve">Faze su međusobno povezane i neophodno ih je posmatrati kao kontinuirani proces, koji se nikada u potpunosti ne završava, </w:t>
      </w:r>
      <w:r w:rsidR="008439FB" w:rsidRPr="001B2128">
        <w:rPr>
          <w:rFonts w:ascii="Arial" w:hAnsi="Arial" w:cs="Arial"/>
          <w:lang w:val="sr-Latn-ME"/>
        </w:rPr>
        <w:t>a</w:t>
      </w:r>
      <w:r w:rsidRPr="001B2128">
        <w:rPr>
          <w:rFonts w:ascii="Arial" w:hAnsi="Arial" w:cs="Arial"/>
          <w:lang w:val="sr-Latn-ME"/>
        </w:rPr>
        <w:t xml:space="preserve"> rizici </w:t>
      </w:r>
      <w:r w:rsidR="008439FB" w:rsidRPr="001B2128">
        <w:rPr>
          <w:rFonts w:ascii="Arial" w:hAnsi="Arial" w:cs="Arial"/>
          <w:lang w:val="sr-Latn-ME"/>
        </w:rPr>
        <w:t xml:space="preserve">su </w:t>
      </w:r>
      <w:r w:rsidRPr="001B2128">
        <w:rPr>
          <w:rFonts w:ascii="Arial" w:hAnsi="Arial" w:cs="Arial"/>
          <w:lang w:val="sr-Latn-ME"/>
        </w:rPr>
        <w:t>po svojoj prirodi dinamični i podložni promjenama tokom vremena.</w:t>
      </w:r>
    </w:p>
    <w:p w:rsidR="0048298C" w:rsidRPr="001B2128" w:rsidRDefault="0048298C" w:rsidP="008D3F3E">
      <w:pPr>
        <w:spacing w:line="240" w:lineRule="atLeast"/>
        <w:ind w:left="-142"/>
        <w:contextualSpacing/>
        <w:jc w:val="both"/>
        <w:rPr>
          <w:rFonts w:ascii="Arial" w:eastAsia="Calibri" w:hAnsi="Arial" w:cs="Arial"/>
          <w:b/>
          <w:lang w:val="sr-Latn-ME"/>
        </w:rPr>
      </w:pPr>
    </w:p>
    <w:p w:rsidR="008D5DE0" w:rsidRPr="001B2128" w:rsidRDefault="008D5DE0" w:rsidP="008D3F3E">
      <w:pPr>
        <w:spacing w:line="240" w:lineRule="atLeast"/>
        <w:ind w:left="-142"/>
        <w:contextualSpacing/>
        <w:jc w:val="both"/>
        <w:rPr>
          <w:rFonts w:ascii="Arial" w:eastAsia="Calibri" w:hAnsi="Arial" w:cs="Arial"/>
          <w:b/>
          <w:lang w:val="sr-Latn-ME"/>
        </w:rPr>
      </w:pPr>
      <w:r w:rsidRPr="001B2128">
        <w:rPr>
          <w:rFonts w:ascii="Arial" w:hAnsi="Arial" w:cs="Arial"/>
          <w:color w:val="000000"/>
          <w:lang w:val="sr-Latn-ME"/>
        </w:rPr>
        <w:t xml:space="preserve">Za identifikaciju rizika najčešće se koriste dva pristupa: </w:t>
      </w:r>
    </w:p>
    <w:p w:rsidR="008D5DE0" w:rsidRPr="001B2128" w:rsidRDefault="008D5DE0" w:rsidP="008D3F3E">
      <w:pPr>
        <w:pStyle w:val="ListParagraph"/>
        <w:numPr>
          <w:ilvl w:val="0"/>
          <w:numId w:val="7"/>
        </w:numPr>
        <w:autoSpaceDE w:val="0"/>
        <w:autoSpaceDN w:val="0"/>
        <w:adjustRightInd w:val="0"/>
        <w:spacing w:after="143" w:line="240" w:lineRule="auto"/>
        <w:jc w:val="both"/>
        <w:rPr>
          <w:rFonts w:ascii="Arial" w:hAnsi="Arial" w:cs="Arial"/>
          <w:color w:val="000000"/>
          <w:lang w:val="sr-Latn-ME"/>
        </w:rPr>
      </w:pPr>
      <w:r w:rsidRPr="001B2128">
        <w:rPr>
          <w:rFonts w:ascii="Arial" w:hAnsi="Arial" w:cs="Arial"/>
          <w:bCs/>
          <w:color w:val="000000"/>
          <w:lang w:val="sr-Latn-ME"/>
        </w:rPr>
        <w:t>odozgo prema dolje</w:t>
      </w:r>
      <w:r w:rsidRPr="001B2128">
        <w:rPr>
          <w:rFonts w:ascii="Arial" w:hAnsi="Arial" w:cs="Arial"/>
          <w:color w:val="000000"/>
          <w:lang w:val="sr-Latn-ME"/>
        </w:rPr>
        <w:t>, koji se koristi za identifikaciju rizika vezanih za realizaciju strateških ciljeva, prioriteta u poslovanju, ključnih programa, kapitalnih i</w:t>
      </w:r>
      <w:r w:rsidR="00185083" w:rsidRPr="001B2128">
        <w:rPr>
          <w:rFonts w:ascii="Arial" w:hAnsi="Arial" w:cs="Arial"/>
          <w:color w:val="000000"/>
          <w:lang w:val="sr-Latn-ME"/>
        </w:rPr>
        <w:t>nvesticionih projekata i slično</w:t>
      </w:r>
      <w:r w:rsidRPr="001B2128">
        <w:rPr>
          <w:rFonts w:ascii="Arial" w:hAnsi="Arial" w:cs="Arial"/>
          <w:color w:val="000000"/>
          <w:lang w:val="sr-Latn-ME"/>
        </w:rPr>
        <w:t xml:space="preserve"> i </w:t>
      </w:r>
    </w:p>
    <w:p w:rsidR="008439FB" w:rsidRPr="001B2128" w:rsidRDefault="008D5DE0" w:rsidP="008439FB">
      <w:pPr>
        <w:pStyle w:val="ListParagraph"/>
        <w:numPr>
          <w:ilvl w:val="0"/>
          <w:numId w:val="7"/>
        </w:numPr>
        <w:autoSpaceDE w:val="0"/>
        <w:autoSpaceDN w:val="0"/>
        <w:adjustRightInd w:val="0"/>
        <w:spacing w:after="0" w:line="240" w:lineRule="auto"/>
        <w:jc w:val="both"/>
        <w:rPr>
          <w:rFonts w:ascii="Arial" w:hAnsi="Arial" w:cs="Arial"/>
          <w:color w:val="000000"/>
          <w:lang w:val="sr-Latn-ME"/>
        </w:rPr>
      </w:pPr>
      <w:r w:rsidRPr="001B2128">
        <w:rPr>
          <w:rFonts w:ascii="Arial" w:hAnsi="Arial" w:cs="Arial"/>
          <w:bCs/>
          <w:color w:val="000000"/>
          <w:lang w:val="sr-Latn-ME"/>
        </w:rPr>
        <w:t>odozdo prema gore</w:t>
      </w:r>
      <w:r w:rsidRPr="001B2128">
        <w:rPr>
          <w:rFonts w:ascii="Arial" w:hAnsi="Arial" w:cs="Arial"/>
          <w:color w:val="000000"/>
          <w:lang w:val="sr-Latn-ME"/>
        </w:rPr>
        <w:t xml:space="preserve">, koji se koristi za identifikaciju operativnih rizika, odnosno rizika vezanih za poslovne procese, funkcije, projekte, aktivnosti. </w:t>
      </w:r>
    </w:p>
    <w:p w:rsidR="008439FB" w:rsidRPr="001B2128" w:rsidRDefault="008439FB" w:rsidP="008439FB">
      <w:pPr>
        <w:pStyle w:val="ListParagraph"/>
        <w:autoSpaceDE w:val="0"/>
        <w:autoSpaceDN w:val="0"/>
        <w:adjustRightInd w:val="0"/>
        <w:spacing w:after="0" w:line="240" w:lineRule="auto"/>
        <w:jc w:val="both"/>
        <w:rPr>
          <w:rFonts w:ascii="Arial" w:hAnsi="Arial" w:cs="Arial"/>
          <w:color w:val="000000"/>
          <w:lang w:val="sr-Latn-ME"/>
        </w:rPr>
      </w:pPr>
    </w:p>
    <w:p w:rsidR="008D5DE0" w:rsidRPr="001B2128" w:rsidRDefault="008D5DE0" w:rsidP="008439FB">
      <w:pPr>
        <w:autoSpaceDE w:val="0"/>
        <w:autoSpaceDN w:val="0"/>
        <w:adjustRightInd w:val="0"/>
        <w:spacing w:after="0" w:line="240" w:lineRule="auto"/>
        <w:jc w:val="both"/>
        <w:rPr>
          <w:rFonts w:ascii="Arial" w:hAnsi="Arial" w:cs="Arial"/>
          <w:color w:val="000000"/>
          <w:lang w:val="sr-Latn-ME"/>
        </w:rPr>
      </w:pPr>
      <w:r w:rsidRPr="001B2128">
        <w:rPr>
          <w:rFonts w:ascii="Arial" w:hAnsi="Arial" w:cs="Arial"/>
          <w:color w:val="000000"/>
          <w:lang w:val="sr-Latn-ME"/>
        </w:rPr>
        <w:t>Ova dva pristupa uzajamno se ne isključuju. Naprotiv, njihova kombinacija u procesu identifikovanja rizika je poželjna, jer olakšava identifikovanje rizika na nivou subjekta i njegovih organizacionih jedinica. Svaka organizaciona jedinica u subjektu treba da u okviru svojih poslovnih procesa prepozna rizike sa kojima se suočava. Na koji će se način</w:t>
      </w:r>
      <w:r w:rsidR="00A005CC" w:rsidRPr="001B2128">
        <w:rPr>
          <w:rFonts w:ascii="Arial" w:hAnsi="Arial" w:cs="Arial"/>
          <w:lang w:val="sr-Latn-ME"/>
        </w:rPr>
        <w:t xml:space="preserve"> </w:t>
      </w:r>
      <w:r w:rsidRPr="001B2128">
        <w:rPr>
          <w:rFonts w:ascii="Arial" w:hAnsi="Arial" w:cs="Arial"/>
          <w:color w:val="000000"/>
          <w:lang w:val="sr-Latn-ME"/>
        </w:rPr>
        <w:t>organizovati identifikovanje rizika zavisi od specifičnosti pojedinog subjekta.</w:t>
      </w:r>
    </w:p>
    <w:p w:rsidR="00A005CC" w:rsidRPr="001B2128" w:rsidRDefault="00A005CC" w:rsidP="008439FB">
      <w:pPr>
        <w:spacing w:after="0"/>
        <w:jc w:val="both"/>
        <w:rPr>
          <w:rFonts w:ascii="Arial" w:hAnsi="Arial" w:cs="Arial"/>
          <w:lang w:val="sr-Latn-ME"/>
        </w:rPr>
      </w:pPr>
    </w:p>
    <w:p w:rsidR="008D5DE0" w:rsidRPr="001B2128" w:rsidRDefault="008D5DE0" w:rsidP="008439FB">
      <w:pPr>
        <w:spacing w:line="240" w:lineRule="atLeast"/>
        <w:ind w:left="-142"/>
        <w:contextualSpacing/>
        <w:jc w:val="both"/>
        <w:rPr>
          <w:rFonts w:ascii="Arial" w:hAnsi="Arial" w:cs="Arial"/>
          <w:color w:val="000000"/>
          <w:lang w:val="sr-Latn-ME"/>
        </w:rPr>
      </w:pPr>
      <w:r w:rsidRPr="001B2128">
        <w:rPr>
          <w:rFonts w:ascii="Arial" w:hAnsi="Arial" w:cs="Arial"/>
          <w:color w:val="000000"/>
          <w:lang w:val="sr-Latn-ME"/>
        </w:rPr>
        <w:t>Najčešće metod</w:t>
      </w:r>
      <w:r w:rsidR="00E70B07" w:rsidRPr="001B2128">
        <w:rPr>
          <w:rFonts w:ascii="Arial" w:hAnsi="Arial" w:cs="Arial"/>
          <w:color w:val="000000"/>
          <w:lang w:val="sr-Latn-ME"/>
        </w:rPr>
        <w:t>e za identifikovanje rizika su:</w:t>
      </w:r>
      <w:r w:rsidR="00346699" w:rsidRPr="001B2128">
        <w:rPr>
          <w:rFonts w:ascii="Arial" w:hAnsi="Arial" w:cs="Arial"/>
          <w:color w:val="000000"/>
          <w:lang w:val="sr-Latn-ME"/>
        </w:rPr>
        <w:t xml:space="preserve"> </w:t>
      </w:r>
      <w:r w:rsidRPr="001B2128">
        <w:rPr>
          <w:rFonts w:ascii="Arial" w:hAnsi="Arial" w:cs="Arial"/>
          <w:color w:val="000000"/>
          <w:lang w:val="sr-Latn-ME"/>
        </w:rPr>
        <w:t>prethodno iskustvo, korišćenje upitnika za samoprocjenu i zajedničke radionice - "Brainstorming”.</w:t>
      </w:r>
    </w:p>
    <w:p w:rsidR="00E70B07" w:rsidRPr="001B2128" w:rsidRDefault="00E70B07" w:rsidP="008D5DE0">
      <w:pPr>
        <w:spacing w:line="240" w:lineRule="atLeast"/>
        <w:ind w:left="-142"/>
        <w:contextualSpacing/>
        <w:jc w:val="both"/>
        <w:rPr>
          <w:rFonts w:ascii="Arial" w:eastAsia="Calibri" w:hAnsi="Arial" w:cs="Arial"/>
          <w:b/>
          <w:lang w:val="sr-Latn-ME"/>
        </w:rPr>
      </w:pPr>
    </w:p>
    <w:p w:rsidR="00E70B07" w:rsidRPr="001B2128" w:rsidRDefault="008D5DE0" w:rsidP="008D5DE0">
      <w:pPr>
        <w:spacing w:line="240" w:lineRule="atLeast"/>
        <w:ind w:left="-142"/>
        <w:contextualSpacing/>
        <w:jc w:val="both"/>
        <w:rPr>
          <w:rFonts w:ascii="Arial" w:hAnsi="Arial" w:cs="Arial"/>
          <w:lang w:val="sr-Latn-ME"/>
        </w:rPr>
      </w:pPr>
      <w:r w:rsidRPr="001B2128">
        <w:rPr>
          <w:rFonts w:ascii="Arial" w:hAnsi="Arial" w:cs="Arial"/>
          <w:lang w:val="sr-Latn-ME"/>
        </w:rPr>
        <w:t>Nakon što se rizici identifikuju potrebno ih je procijeniti kako bi se oni rangirali, utvrdili prioriteti i pružile informacije za donošenje odluka o rizicima na koje se treba usmjeriti. Rizici se procjenjuju</w:t>
      </w:r>
    </w:p>
    <w:p w:rsidR="008D5DE0" w:rsidRPr="001B2128" w:rsidRDefault="008D5DE0" w:rsidP="008D5DE0">
      <w:pPr>
        <w:spacing w:line="240" w:lineRule="atLeast"/>
        <w:ind w:left="-142"/>
        <w:contextualSpacing/>
        <w:jc w:val="both"/>
        <w:rPr>
          <w:rFonts w:ascii="Arial" w:hAnsi="Arial" w:cs="Arial"/>
          <w:lang w:val="sr-Latn-ME"/>
        </w:rPr>
      </w:pPr>
      <w:r w:rsidRPr="001B2128">
        <w:rPr>
          <w:rFonts w:ascii="Arial" w:hAnsi="Arial" w:cs="Arial"/>
          <w:lang w:val="sr-Latn-ME"/>
        </w:rPr>
        <w:t>uzimajući u obzir uticaj neželjenog događaja na cilj i vjerovatnoću nastanka neželjenog događaja</w:t>
      </w:r>
      <w:r w:rsidR="00E70B07" w:rsidRPr="001B2128">
        <w:rPr>
          <w:rFonts w:ascii="Arial" w:hAnsi="Arial" w:cs="Arial"/>
          <w:lang w:val="sr-Latn-ME"/>
        </w:rPr>
        <w:t xml:space="preserve">. </w:t>
      </w:r>
    </w:p>
    <w:p w:rsidR="00E70B07" w:rsidRPr="001B2128" w:rsidRDefault="00E70B07" w:rsidP="008D5DE0">
      <w:pPr>
        <w:spacing w:line="240" w:lineRule="atLeast"/>
        <w:ind w:left="-142"/>
        <w:contextualSpacing/>
        <w:jc w:val="both"/>
        <w:rPr>
          <w:rFonts w:ascii="Arial" w:hAnsi="Arial" w:cs="Arial"/>
          <w:lang w:val="sr-Latn-ME"/>
        </w:rPr>
      </w:pPr>
    </w:p>
    <w:p w:rsidR="004F34AF" w:rsidRPr="001B2128" w:rsidRDefault="008D5DE0" w:rsidP="00966BF3">
      <w:pPr>
        <w:spacing w:line="240" w:lineRule="atLeast"/>
        <w:ind w:left="-142"/>
        <w:contextualSpacing/>
        <w:jc w:val="both"/>
        <w:rPr>
          <w:rFonts w:ascii="Arial" w:hAnsi="Arial" w:cs="Arial"/>
          <w:lang w:val="sr-Latn-ME"/>
        </w:rPr>
      </w:pPr>
      <w:r w:rsidRPr="001B2128">
        <w:rPr>
          <w:rFonts w:ascii="Arial" w:hAnsi="Arial" w:cs="Arial"/>
          <w:lang w:val="sr-Latn-ME"/>
        </w:rPr>
        <w:t>Uticaj je procjena posljedica u slučaju nastanka određenog neželjenog događaja.To može biti i neka vrs</w:t>
      </w:r>
      <w:r w:rsidR="00A90187" w:rsidRPr="001B2128">
        <w:rPr>
          <w:rFonts w:ascii="Arial" w:hAnsi="Arial" w:cs="Arial"/>
          <w:lang w:val="sr-Latn-ME"/>
        </w:rPr>
        <w:t>ta štete ili propuštene prilike.</w:t>
      </w:r>
    </w:p>
    <w:p w:rsidR="00A90187" w:rsidRPr="001B2128" w:rsidRDefault="00A90187" w:rsidP="00966BF3">
      <w:pPr>
        <w:spacing w:line="240" w:lineRule="atLeast"/>
        <w:ind w:left="-142"/>
        <w:contextualSpacing/>
        <w:jc w:val="both"/>
        <w:rPr>
          <w:rFonts w:ascii="Arial" w:hAnsi="Arial" w:cs="Arial"/>
          <w:lang w:val="sr-Latn-ME"/>
        </w:rPr>
      </w:pPr>
    </w:p>
    <w:p w:rsidR="00A90187" w:rsidRPr="001B2128" w:rsidRDefault="00A90187" w:rsidP="00966BF3">
      <w:pPr>
        <w:spacing w:line="240" w:lineRule="atLeast"/>
        <w:ind w:left="-142"/>
        <w:contextualSpacing/>
        <w:jc w:val="both"/>
        <w:rPr>
          <w:rFonts w:ascii="Arial" w:hAnsi="Arial" w:cs="Arial"/>
          <w:lang w:val="sr-Latn-ME"/>
        </w:rPr>
      </w:pPr>
    </w:p>
    <w:p w:rsidR="00185083" w:rsidRPr="001B2128" w:rsidRDefault="008D5DE0" w:rsidP="00185083">
      <w:pPr>
        <w:spacing w:line="240" w:lineRule="atLeast"/>
        <w:ind w:left="-142"/>
        <w:contextualSpacing/>
        <w:jc w:val="both"/>
        <w:rPr>
          <w:rFonts w:ascii="Arial" w:hAnsi="Arial" w:cs="Arial"/>
          <w:lang w:val="sr-Latn-ME"/>
        </w:rPr>
      </w:pPr>
      <w:r w:rsidRPr="001B2128">
        <w:rPr>
          <w:rFonts w:ascii="Arial" w:hAnsi="Arial" w:cs="Arial"/>
          <w:lang w:val="sr-Latn-ME"/>
        </w:rPr>
        <w:t xml:space="preserve">  </w:t>
      </w:r>
    </w:p>
    <w:p w:rsidR="008D5DE0" w:rsidRPr="001B2128" w:rsidRDefault="008D5DE0" w:rsidP="00185083">
      <w:pPr>
        <w:spacing w:line="240" w:lineRule="atLeast"/>
        <w:ind w:left="-142"/>
        <w:contextualSpacing/>
        <w:jc w:val="both"/>
        <w:rPr>
          <w:rFonts w:ascii="Arial" w:hAnsi="Arial" w:cs="Arial"/>
          <w:lang w:val="sr-Latn-ME"/>
        </w:rPr>
      </w:pPr>
      <w:r w:rsidRPr="001B2128">
        <w:rPr>
          <w:rFonts w:ascii="Arial" w:hAnsi="Arial" w:cs="Arial"/>
          <w:lang w:val="sr-Latn-ME"/>
        </w:rPr>
        <w:lastRenderedPageBreak/>
        <w:t>Mjerenja uticaja rizika rangira se na sljedeći način:</w:t>
      </w:r>
    </w:p>
    <w:tbl>
      <w:tblPr>
        <w:tblStyle w:val="TableGrid"/>
        <w:tblW w:w="0" w:type="auto"/>
        <w:tblBorders>
          <w:top w:val="thinThickLargeGap" w:sz="24" w:space="0" w:color="auto"/>
          <w:left w:val="thinThickLargeGap" w:sz="24" w:space="0" w:color="auto"/>
          <w:bottom w:val="thickThinLargeGap" w:sz="24" w:space="0" w:color="auto"/>
          <w:right w:val="thickThinLargeGap" w:sz="24" w:space="0" w:color="auto"/>
        </w:tblBorders>
        <w:tblLook w:val="04A0" w:firstRow="1" w:lastRow="0" w:firstColumn="1" w:lastColumn="0" w:noHBand="0" w:noVBand="1"/>
      </w:tblPr>
      <w:tblGrid>
        <w:gridCol w:w="1133"/>
        <w:gridCol w:w="1559"/>
        <w:gridCol w:w="6469"/>
      </w:tblGrid>
      <w:tr w:rsidR="008D5DE0" w:rsidRPr="001B2128" w:rsidTr="00DC70A3">
        <w:trPr>
          <w:trHeight w:val="535"/>
        </w:trPr>
        <w:tc>
          <w:tcPr>
            <w:tcW w:w="1133" w:type="dxa"/>
            <w:tcBorders>
              <w:top w:val="thinThickLargeGap" w:sz="24" w:space="0" w:color="auto"/>
              <w:bottom w:val="single" w:sz="4" w:space="0" w:color="auto"/>
            </w:tcBorders>
            <w:shd w:val="clear" w:color="auto" w:fill="FFFFFF" w:themeFill="background1"/>
            <w:vAlign w:val="center"/>
          </w:tcPr>
          <w:p w:rsidR="008D5DE0" w:rsidRPr="001B2128" w:rsidRDefault="008D5DE0" w:rsidP="00DC70A3">
            <w:pPr>
              <w:jc w:val="center"/>
              <w:rPr>
                <w:rFonts w:ascii="Arial" w:hAnsi="Arial" w:cs="Arial"/>
                <w:b/>
                <w:lang w:val="sr-Latn-ME"/>
              </w:rPr>
            </w:pPr>
            <w:r w:rsidRPr="001B2128">
              <w:rPr>
                <w:rFonts w:ascii="Arial" w:hAnsi="Arial" w:cs="Arial"/>
                <w:b/>
                <w:lang w:val="sr-Latn-ME"/>
              </w:rPr>
              <w:t>OCJENA</w:t>
            </w:r>
          </w:p>
        </w:tc>
        <w:tc>
          <w:tcPr>
            <w:tcW w:w="1559" w:type="dxa"/>
            <w:tcBorders>
              <w:top w:val="thinThickLargeGap" w:sz="24" w:space="0" w:color="auto"/>
              <w:bottom w:val="single" w:sz="4" w:space="0" w:color="auto"/>
            </w:tcBorders>
            <w:shd w:val="clear" w:color="auto" w:fill="FFFFFF" w:themeFill="background1"/>
            <w:vAlign w:val="center"/>
          </w:tcPr>
          <w:p w:rsidR="008D5DE0" w:rsidRPr="001B2128" w:rsidRDefault="008D5DE0" w:rsidP="00DC70A3">
            <w:pPr>
              <w:jc w:val="center"/>
              <w:rPr>
                <w:rFonts w:ascii="Arial" w:hAnsi="Arial" w:cs="Arial"/>
                <w:b/>
                <w:lang w:val="sr-Latn-ME"/>
              </w:rPr>
            </w:pPr>
            <w:r w:rsidRPr="001B2128">
              <w:rPr>
                <w:rFonts w:ascii="Arial" w:hAnsi="Arial" w:cs="Arial"/>
                <w:b/>
                <w:lang w:val="sr-Latn-ME"/>
              </w:rPr>
              <w:t>UTICAJ</w:t>
            </w:r>
          </w:p>
        </w:tc>
        <w:tc>
          <w:tcPr>
            <w:tcW w:w="6469" w:type="dxa"/>
            <w:tcBorders>
              <w:top w:val="thinThickLargeGap" w:sz="24" w:space="0" w:color="auto"/>
              <w:bottom w:val="single" w:sz="4" w:space="0" w:color="auto"/>
            </w:tcBorders>
            <w:shd w:val="clear" w:color="auto" w:fill="FFFFFF" w:themeFill="background1"/>
            <w:vAlign w:val="center"/>
          </w:tcPr>
          <w:p w:rsidR="008D5DE0" w:rsidRPr="001B2128" w:rsidRDefault="008D5DE0" w:rsidP="00DC70A3">
            <w:pPr>
              <w:jc w:val="center"/>
              <w:rPr>
                <w:rFonts w:ascii="Arial" w:hAnsi="Arial" w:cs="Arial"/>
                <w:b/>
                <w:lang w:val="sr-Latn-ME"/>
              </w:rPr>
            </w:pPr>
            <w:r w:rsidRPr="001B2128">
              <w:rPr>
                <w:rFonts w:ascii="Arial" w:hAnsi="Arial" w:cs="Arial"/>
                <w:b/>
                <w:lang w:val="sr-Latn-ME"/>
              </w:rPr>
              <w:t>OPIS</w:t>
            </w:r>
          </w:p>
        </w:tc>
      </w:tr>
      <w:tr w:rsidR="008D5DE0" w:rsidRPr="001B2128" w:rsidTr="00DC70A3">
        <w:trPr>
          <w:trHeight w:val="696"/>
        </w:trPr>
        <w:tc>
          <w:tcPr>
            <w:tcW w:w="1133" w:type="dxa"/>
            <w:tcBorders>
              <w:top w:val="single" w:sz="4" w:space="0" w:color="auto"/>
            </w:tcBorders>
            <w:vAlign w:val="center"/>
          </w:tcPr>
          <w:p w:rsidR="008D5DE0" w:rsidRPr="001B2128" w:rsidRDefault="008D5DE0" w:rsidP="00DC70A3">
            <w:pPr>
              <w:jc w:val="center"/>
              <w:rPr>
                <w:rFonts w:ascii="Arial" w:hAnsi="Arial" w:cs="Arial"/>
                <w:b/>
                <w:lang w:val="sr-Latn-ME"/>
              </w:rPr>
            </w:pPr>
            <w:r w:rsidRPr="001B2128">
              <w:rPr>
                <w:rFonts w:ascii="Arial" w:hAnsi="Arial" w:cs="Arial"/>
                <w:b/>
                <w:lang w:val="sr-Latn-ME"/>
              </w:rPr>
              <w:t>5</w:t>
            </w:r>
          </w:p>
        </w:tc>
        <w:tc>
          <w:tcPr>
            <w:tcW w:w="1559" w:type="dxa"/>
            <w:tcBorders>
              <w:top w:val="single" w:sz="4" w:space="0" w:color="auto"/>
            </w:tcBorders>
            <w:vAlign w:val="center"/>
          </w:tcPr>
          <w:p w:rsidR="008D5DE0" w:rsidRPr="001B2128" w:rsidRDefault="008D5DE0" w:rsidP="00DC70A3">
            <w:pPr>
              <w:jc w:val="center"/>
              <w:rPr>
                <w:rFonts w:ascii="Arial" w:hAnsi="Arial" w:cs="Arial"/>
                <w:lang w:val="sr-Latn-ME"/>
              </w:rPr>
            </w:pPr>
            <w:r w:rsidRPr="001B2128">
              <w:rPr>
                <w:rFonts w:ascii="Arial" w:hAnsi="Arial" w:cs="Arial"/>
                <w:lang w:val="sr-Latn-ME"/>
              </w:rPr>
              <w:t>Veoma značajan</w:t>
            </w:r>
          </w:p>
        </w:tc>
        <w:tc>
          <w:tcPr>
            <w:tcW w:w="6469" w:type="dxa"/>
            <w:tcBorders>
              <w:top w:val="single" w:sz="4" w:space="0" w:color="auto"/>
            </w:tcBorders>
            <w:vAlign w:val="center"/>
          </w:tcPr>
          <w:p w:rsidR="008D5DE0" w:rsidRPr="001B2128" w:rsidRDefault="008D5DE0" w:rsidP="00DC70A3">
            <w:pPr>
              <w:rPr>
                <w:rFonts w:ascii="Arial" w:hAnsi="Arial" w:cs="Arial"/>
                <w:lang w:val="sr-Latn-ME"/>
              </w:rPr>
            </w:pPr>
            <w:r w:rsidRPr="001B2128">
              <w:rPr>
                <w:rFonts w:ascii="Arial" w:hAnsi="Arial" w:cs="Arial"/>
                <w:lang w:val="sr-Latn-ME"/>
              </w:rPr>
              <w:t>U slučaju pojave rizika  skoro je nevjerojatno da će se ciljevi ostvariti  (postoji 1- 29% šanse da će se ciljevi ostvariti)</w:t>
            </w:r>
          </w:p>
        </w:tc>
      </w:tr>
      <w:tr w:rsidR="008D5DE0" w:rsidRPr="001B2128" w:rsidTr="00DC70A3">
        <w:trPr>
          <w:trHeight w:val="902"/>
        </w:trPr>
        <w:tc>
          <w:tcPr>
            <w:tcW w:w="1133" w:type="dxa"/>
            <w:vAlign w:val="center"/>
          </w:tcPr>
          <w:p w:rsidR="008D5DE0" w:rsidRPr="001B2128" w:rsidRDefault="008D5DE0" w:rsidP="00DC70A3">
            <w:pPr>
              <w:jc w:val="center"/>
              <w:rPr>
                <w:rFonts w:ascii="Arial" w:hAnsi="Arial" w:cs="Arial"/>
                <w:b/>
                <w:lang w:val="sr-Latn-ME"/>
              </w:rPr>
            </w:pPr>
            <w:r w:rsidRPr="001B2128">
              <w:rPr>
                <w:rFonts w:ascii="Arial" w:hAnsi="Arial" w:cs="Arial"/>
                <w:b/>
                <w:lang w:val="sr-Latn-ME"/>
              </w:rPr>
              <w:t>4</w:t>
            </w:r>
          </w:p>
        </w:tc>
        <w:tc>
          <w:tcPr>
            <w:tcW w:w="1559" w:type="dxa"/>
            <w:vAlign w:val="center"/>
          </w:tcPr>
          <w:p w:rsidR="008D5DE0" w:rsidRPr="001B2128" w:rsidRDefault="008D5DE0" w:rsidP="00DC70A3">
            <w:pPr>
              <w:jc w:val="center"/>
              <w:rPr>
                <w:rFonts w:ascii="Arial" w:hAnsi="Arial" w:cs="Arial"/>
                <w:lang w:val="sr-Latn-ME"/>
              </w:rPr>
            </w:pPr>
            <w:r w:rsidRPr="001B2128">
              <w:rPr>
                <w:rFonts w:ascii="Arial" w:hAnsi="Arial" w:cs="Arial"/>
                <w:lang w:val="sr-Latn-ME"/>
              </w:rPr>
              <w:t>Velik</w:t>
            </w:r>
          </w:p>
        </w:tc>
        <w:tc>
          <w:tcPr>
            <w:tcW w:w="6469" w:type="dxa"/>
            <w:vAlign w:val="center"/>
          </w:tcPr>
          <w:p w:rsidR="008D5DE0" w:rsidRPr="001B2128" w:rsidRDefault="008D5DE0" w:rsidP="00DC70A3">
            <w:pPr>
              <w:rPr>
                <w:rFonts w:ascii="Arial" w:hAnsi="Arial" w:cs="Arial"/>
                <w:lang w:val="sr-Latn-ME"/>
              </w:rPr>
            </w:pPr>
            <w:r w:rsidRPr="001B2128">
              <w:rPr>
                <w:rFonts w:ascii="Arial" w:hAnsi="Arial" w:cs="Arial"/>
                <w:lang w:val="sr-Latn-ME"/>
              </w:rPr>
              <w:t>U slučaju pojave rizika, aktivnosti su značajno narušene, a  malo je vjerojatno da  će se ciljevi ostvariti (šansa da će se ciljevi ostvariti je 30-49%)</w:t>
            </w:r>
          </w:p>
        </w:tc>
      </w:tr>
      <w:tr w:rsidR="008D5DE0" w:rsidRPr="001B2128" w:rsidTr="00DC70A3">
        <w:trPr>
          <w:trHeight w:val="932"/>
        </w:trPr>
        <w:tc>
          <w:tcPr>
            <w:tcW w:w="1133" w:type="dxa"/>
            <w:vAlign w:val="center"/>
          </w:tcPr>
          <w:p w:rsidR="008D5DE0" w:rsidRPr="001B2128" w:rsidRDefault="008D5DE0" w:rsidP="00DC70A3">
            <w:pPr>
              <w:jc w:val="center"/>
              <w:rPr>
                <w:rFonts w:ascii="Arial" w:hAnsi="Arial" w:cs="Arial"/>
                <w:b/>
                <w:lang w:val="sr-Latn-ME"/>
              </w:rPr>
            </w:pPr>
            <w:r w:rsidRPr="001B2128">
              <w:rPr>
                <w:rFonts w:ascii="Arial" w:hAnsi="Arial" w:cs="Arial"/>
                <w:b/>
                <w:lang w:val="sr-Latn-ME"/>
              </w:rPr>
              <w:t>3</w:t>
            </w:r>
          </w:p>
        </w:tc>
        <w:tc>
          <w:tcPr>
            <w:tcW w:w="1559" w:type="dxa"/>
            <w:vAlign w:val="center"/>
          </w:tcPr>
          <w:p w:rsidR="008D5DE0" w:rsidRPr="001B2128" w:rsidRDefault="008D5DE0" w:rsidP="00DC70A3">
            <w:pPr>
              <w:jc w:val="center"/>
              <w:rPr>
                <w:rFonts w:ascii="Arial" w:hAnsi="Arial" w:cs="Arial"/>
                <w:lang w:val="sr-Latn-ME"/>
              </w:rPr>
            </w:pPr>
            <w:r w:rsidRPr="001B2128">
              <w:rPr>
                <w:rFonts w:ascii="Arial" w:hAnsi="Arial" w:cs="Arial"/>
                <w:lang w:val="sr-Latn-ME"/>
              </w:rPr>
              <w:t>Srednji</w:t>
            </w:r>
          </w:p>
        </w:tc>
        <w:tc>
          <w:tcPr>
            <w:tcW w:w="6469" w:type="dxa"/>
            <w:vAlign w:val="center"/>
          </w:tcPr>
          <w:p w:rsidR="008D5DE0" w:rsidRPr="001B2128" w:rsidRDefault="008D5DE0" w:rsidP="00DC70A3">
            <w:pPr>
              <w:rPr>
                <w:rFonts w:ascii="Arial" w:hAnsi="Arial" w:cs="Arial"/>
                <w:lang w:val="sr-Latn-ME"/>
              </w:rPr>
            </w:pPr>
            <w:r w:rsidRPr="001B2128">
              <w:rPr>
                <w:rFonts w:ascii="Arial" w:hAnsi="Arial" w:cs="Arial"/>
                <w:lang w:val="sr-Latn-ME"/>
              </w:rPr>
              <w:t>U slučaju rizika otežano je obavljanje aktivnosti subjekta, a ciljevi se samo donekle mogu ostvariti (šansa da će se ciljevi ostvariti je 50-69%)</w:t>
            </w:r>
          </w:p>
        </w:tc>
      </w:tr>
      <w:tr w:rsidR="008D5DE0" w:rsidRPr="001B2128" w:rsidTr="00DC70A3">
        <w:trPr>
          <w:trHeight w:val="924"/>
        </w:trPr>
        <w:tc>
          <w:tcPr>
            <w:tcW w:w="1133" w:type="dxa"/>
            <w:vAlign w:val="center"/>
          </w:tcPr>
          <w:p w:rsidR="008D5DE0" w:rsidRPr="001B2128" w:rsidRDefault="008D5DE0" w:rsidP="00DC70A3">
            <w:pPr>
              <w:jc w:val="center"/>
              <w:rPr>
                <w:rFonts w:ascii="Arial" w:hAnsi="Arial" w:cs="Arial"/>
                <w:b/>
                <w:lang w:val="sr-Latn-ME"/>
              </w:rPr>
            </w:pPr>
            <w:r w:rsidRPr="001B2128">
              <w:rPr>
                <w:rFonts w:ascii="Arial" w:hAnsi="Arial" w:cs="Arial"/>
                <w:b/>
                <w:lang w:val="sr-Latn-ME"/>
              </w:rPr>
              <w:t>2</w:t>
            </w:r>
          </w:p>
        </w:tc>
        <w:tc>
          <w:tcPr>
            <w:tcW w:w="1559" w:type="dxa"/>
            <w:vAlign w:val="center"/>
          </w:tcPr>
          <w:p w:rsidR="008D5DE0" w:rsidRPr="001B2128" w:rsidRDefault="008D5DE0" w:rsidP="00DC70A3">
            <w:pPr>
              <w:jc w:val="center"/>
              <w:rPr>
                <w:rFonts w:ascii="Arial" w:hAnsi="Arial" w:cs="Arial"/>
                <w:lang w:val="sr-Latn-ME"/>
              </w:rPr>
            </w:pPr>
            <w:r w:rsidRPr="001B2128">
              <w:rPr>
                <w:rFonts w:ascii="Arial" w:hAnsi="Arial" w:cs="Arial"/>
                <w:lang w:val="sr-Latn-ME"/>
              </w:rPr>
              <w:t>Mali</w:t>
            </w:r>
          </w:p>
        </w:tc>
        <w:tc>
          <w:tcPr>
            <w:tcW w:w="6469" w:type="dxa"/>
            <w:vAlign w:val="center"/>
          </w:tcPr>
          <w:p w:rsidR="008D5DE0" w:rsidRPr="001B2128" w:rsidRDefault="008D5DE0" w:rsidP="00DC70A3">
            <w:pPr>
              <w:rPr>
                <w:rFonts w:ascii="Arial" w:hAnsi="Arial" w:cs="Arial"/>
                <w:lang w:val="sr-Latn-ME"/>
              </w:rPr>
            </w:pPr>
            <w:r w:rsidRPr="001B2128">
              <w:rPr>
                <w:rFonts w:ascii="Arial" w:hAnsi="Arial" w:cs="Arial"/>
                <w:lang w:val="sr-Latn-ME"/>
              </w:rPr>
              <w:t>U slučaju pojave rizika aktivnosti se obavljaju sa malim smetnjama/kašnjenjem, ali vjerovatno će se ciljevi ostvariti (šansa da će se ciljevi ostvariti je 70-89%)</w:t>
            </w:r>
          </w:p>
        </w:tc>
      </w:tr>
      <w:tr w:rsidR="008D5DE0" w:rsidRPr="001B2128" w:rsidTr="00DC70A3">
        <w:trPr>
          <w:trHeight w:val="902"/>
        </w:trPr>
        <w:tc>
          <w:tcPr>
            <w:tcW w:w="1133" w:type="dxa"/>
            <w:vAlign w:val="center"/>
          </w:tcPr>
          <w:p w:rsidR="008D5DE0" w:rsidRPr="001B2128" w:rsidRDefault="008D5DE0" w:rsidP="00DC70A3">
            <w:pPr>
              <w:jc w:val="center"/>
              <w:rPr>
                <w:rFonts w:ascii="Arial" w:hAnsi="Arial" w:cs="Arial"/>
                <w:b/>
                <w:lang w:val="sr-Latn-ME"/>
              </w:rPr>
            </w:pPr>
            <w:r w:rsidRPr="001B2128">
              <w:rPr>
                <w:rFonts w:ascii="Arial" w:hAnsi="Arial" w:cs="Arial"/>
                <w:b/>
                <w:lang w:val="sr-Latn-ME"/>
              </w:rPr>
              <w:t>1</w:t>
            </w:r>
          </w:p>
        </w:tc>
        <w:tc>
          <w:tcPr>
            <w:tcW w:w="1559" w:type="dxa"/>
            <w:vAlign w:val="center"/>
          </w:tcPr>
          <w:p w:rsidR="008D5DE0" w:rsidRPr="001B2128" w:rsidRDefault="008D5DE0" w:rsidP="00DC70A3">
            <w:pPr>
              <w:jc w:val="center"/>
              <w:rPr>
                <w:rFonts w:ascii="Arial" w:hAnsi="Arial" w:cs="Arial"/>
                <w:lang w:val="sr-Latn-ME"/>
              </w:rPr>
            </w:pPr>
            <w:r w:rsidRPr="001B2128">
              <w:rPr>
                <w:rFonts w:ascii="Arial" w:hAnsi="Arial" w:cs="Arial"/>
                <w:lang w:val="sr-Latn-ME"/>
              </w:rPr>
              <w:t>Zanemarljiv</w:t>
            </w:r>
          </w:p>
        </w:tc>
        <w:tc>
          <w:tcPr>
            <w:tcW w:w="6469" w:type="dxa"/>
            <w:vAlign w:val="center"/>
          </w:tcPr>
          <w:p w:rsidR="008D5DE0" w:rsidRPr="001B2128" w:rsidRDefault="008D5DE0" w:rsidP="00DC70A3">
            <w:pPr>
              <w:rPr>
                <w:rFonts w:ascii="Arial" w:hAnsi="Arial" w:cs="Arial"/>
                <w:lang w:val="sr-Latn-ME"/>
              </w:rPr>
            </w:pPr>
            <w:r w:rsidRPr="001B2128">
              <w:rPr>
                <w:rFonts w:ascii="Arial" w:hAnsi="Arial" w:cs="Arial"/>
                <w:lang w:val="sr-Latn-ME"/>
              </w:rPr>
              <w:t>U slučaju pojave rizika aktivnosti se obavljaju sa malim smetnjama/kašnjenjem, ali vjerovatno će se ciljevi ostvariti ( šansa da će se ciljevi ostvariti je 90-100%)</w:t>
            </w:r>
          </w:p>
        </w:tc>
      </w:tr>
    </w:tbl>
    <w:p w:rsidR="00185083" w:rsidRPr="001B2128" w:rsidRDefault="00185083" w:rsidP="008D3F3E">
      <w:pPr>
        <w:tabs>
          <w:tab w:val="left" w:pos="709"/>
        </w:tabs>
        <w:jc w:val="both"/>
        <w:rPr>
          <w:rFonts w:ascii="Arial" w:hAnsi="Arial" w:cs="Arial"/>
          <w:lang w:val="sr-Latn-ME"/>
        </w:rPr>
      </w:pPr>
    </w:p>
    <w:p w:rsidR="004F34AF" w:rsidRPr="001B2128" w:rsidRDefault="008D5DE0" w:rsidP="008D3F3E">
      <w:pPr>
        <w:tabs>
          <w:tab w:val="left" w:pos="709"/>
        </w:tabs>
        <w:jc w:val="both"/>
        <w:rPr>
          <w:rFonts w:ascii="Arial" w:hAnsi="Arial" w:cs="Arial"/>
          <w:lang w:val="sr-Latn-ME"/>
        </w:rPr>
      </w:pPr>
      <w:r w:rsidRPr="001B2128">
        <w:rPr>
          <w:rFonts w:ascii="Arial" w:hAnsi="Arial" w:cs="Arial"/>
          <w:lang w:val="sr-Latn-ME"/>
        </w:rPr>
        <w:t>Vjerovatnoća je procjena mogućnosti nastanka određenog događaja, uključujući i učestalost (npr. tokom jedne godine). Na primjer, relativno je mala vjerovatnoća da će se desiti veliko oštećenje na nekoj zgradi, ali bi to imalo ogroman uticaj na kontinuitet poslovanja. Nasuprot tome, vrlo je vjerovatan povremeni pad kompjuterskog sistema, ali to obično nema veliki uticaj na poslovanje.</w:t>
      </w:r>
    </w:p>
    <w:p w:rsidR="004F34AF" w:rsidRPr="001B2128" w:rsidRDefault="004F34AF" w:rsidP="008D5DE0">
      <w:pPr>
        <w:spacing w:line="240" w:lineRule="atLeast"/>
        <w:ind w:left="-142"/>
        <w:contextualSpacing/>
        <w:jc w:val="both"/>
        <w:rPr>
          <w:rFonts w:ascii="Arial" w:hAnsi="Arial" w:cs="Arial"/>
          <w:lang w:val="sr-Latn-ME"/>
        </w:rPr>
      </w:pPr>
    </w:p>
    <w:p w:rsidR="00636CFD" w:rsidRPr="001B2128" w:rsidRDefault="008D5DE0" w:rsidP="00D65A33">
      <w:pPr>
        <w:spacing w:line="240" w:lineRule="atLeast"/>
        <w:contextualSpacing/>
        <w:jc w:val="both"/>
        <w:rPr>
          <w:rFonts w:ascii="Arial" w:hAnsi="Arial" w:cs="Arial"/>
          <w:lang w:val="sr-Latn-ME"/>
        </w:rPr>
      </w:pPr>
      <w:r w:rsidRPr="001B2128">
        <w:rPr>
          <w:rFonts w:ascii="Arial" w:hAnsi="Arial" w:cs="Arial"/>
          <w:lang w:val="sr-Latn-ME"/>
        </w:rPr>
        <w:t>Mjerenja vjerovatnoće rizika rangira se na sljedeći način:</w:t>
      </w:r>
    </w:p>
    <w:tbl>
      <w:tblPr>
        <w:tblStyle w:val="TableGrid"/>
        <w:tblW w:w="0" w:type="auto"/>
        <w:tblInd w:w="108" w:type="dxa"/>
        <w:tblBorders>
          <w:top w:val="thinThickLargeGap" w:sz="24" w:space="0" w:color="auto"/>
          <w:left w:val="thinThickLargeGap" w:sz="24" w:space="0" w:color="auto"/>
          <w:bottom w:val="thickThinLargeGap" w:sz="24" w:space="0" w:color="auto"/>
          <w:right w:val="thickThinLargeGap" w:sz="24" w:space="0" w:color="auto"/>
        </w:tblBorders>
        <w:tblLook w:val="04A0" w:firstRow="1" w:lastRow="0" w:firstColumn="1" w:lastColumn="0" w:noHBand="0" w:noVBand="1"/>
      </w:tblPr>
      <w:tblGrid>
        <w:gridCol w:w="1133"/>
        <w:gridCol w:w="2074"/>
        <w:gridCol w:w="6047"/>
      </w:tblGrid>
      <w:tr w:rsidR="008D5DE0" w:rsidRPr="001B2128" w:rsidTr="004F34AF">
        <w:trPr>
          <w:trHeight w:val="431"/>
        </w:trPr>
        <w:tc>
          <w:tcPr>
            <w:tcW w:w="1133" w:type="dxa"/>
            <w:tcBorders>
              <w:top w:val="thinThickLargeGap" w:sz="24" w:space="0" w:color="auto"/>
              <w:bottom w:val="single" w:sz="4" w:space="0" w:color="auto"/>
            </w:tcBorders>
            <w:shd w:val="clear" w:color="auto" w:fill="EEECE1" w:themeFill="background2"/>
            <w:vAlign w:val="center"/>
          </w:tcPr>
          <w:p w:rsidR="008D5DE0" w:rsidRPr="001B2128" w:rsidRDefault="008D5DE0" w:rsidP="00DC70A3">
            <w:pPr>
              <w:jc w:val="center"/>
              <w:rPr>
                <w:rFonts w:ascii="Arial" w:hAnsi="Arial" w:cs="Arial"/>
                <w:b/>
                <w:lang w:val="sr-Latn-ME"/>
              </w:rPr>
            </w:pPr>
            <w:r w:rsidRPr="001B2128">
              <w:rPr>
                <w:rFonts w:ascii="Arial" w:hAnsi="Arial" w:cs="Arial"/>
                <w:b/>
                <w:lang w:val="sr-Latn-ME"/>
              </w:rPr>
              <w:t>OCJENA</w:t>
            </w:r>
          </w:p>
        </w:tc>
        <w:tc>
          <w:tcPr>
            <w:tcW w:w="2074" w:type="dxa"/>
            <w:tcBorders>
              <w:top w:val="thinThickLargeGap" w:sz="24" w:space="0" w:color="auto"/>
              <w:bottom w:val="single" w:sz="4" w:space="0" w:color="auto"/>
            </w:tcBorders>
            <w:shd w:val="clear" w:color="auto" w:fill="EEECE1" w:themeFill="background2"/>
            <w:vAlign w:val="center"/>
          </w:tcPr>
          <w:p w:rsidR="008D5DE0" w:rsidRPr="001B2128" w:rsidRDefault="008D5DE0" w:rsidP="00DC70A3">
            <w:pPr>
              <w:jc w:val="center"/>
              <w:rPr>
                <w:rFonts w:ascii="Arial" w:hAnsi="Arial" w:cs="Arial"/>
                <w:b/>
                <w:lang w:val="sr-Latn-ME"/>
              </w:rPr>
            </w:pPr>
            <w:r w:rsidRPr="001B2128">
              <w:rPr>
                <w:rFonts w:ascii="Arial" w:hAnsi="Arial" w:cs="Arial"/>
                <w:b/>
                <w:lang w:val="sr-Latn-ME"/>
              </w:rPr>
              <w:t>VJEROVATNOĆA</w:t>
            </w:r>
          </w:p>
        </w:tc>
        <w:tc>
          <w:tcPr>
            <w:tcW w:w="6047" w:type="dxa"/>
            <w:tcBorders>
              <w:top w:val="thinThickLargeGap" w:sz="24" w:space="0" w:color="auto"/>
              <w:bottom w:val="single" w:sz="4" w:space="0" w:color="auto"/>
            </w:tcBorders>
            <w:shd w:val="clear" w:color="auto" w:fill="EEECE1" w:themeFill="background2"/>
            <w:vAlign w:val="center"/>
          </w:tcPr>
          <w:p w:rsidR="008D5DE0" w:rsidRPr="001B2128" w:rsidRDefault="008D5DE0" w:rsidP="00DC70A3">
            <w:pPr>
              <w:jc w:val="center"/>
              <w:rPr>
                <w:rFonts w:ascii="Arial" w:hAnsi="Arial" w:cs="Arial"/>
                <w:b/>
                <w:lang w:val="sr-Latn-ME"/>
              </w:rPr>
            </w:pPr>
            <w:r w:rsidRPr="001B2128">
              <w:rPr>
                <w:rFonts w:ascii="Arial" w:hAnsi="Arial" w:cs="Arial"/>
                <w:b/>
                <w:lang w:val="sr-Latn-ME"/>
              </w:rPr>
              <w:t>OPIS</w:t>
            </w:r>
          </w:p>
        </w:tc>
      </w:tr>
      <w:tr w:rsidR="008D5DE0" w:rsidRPr="001B2128" w:rsidTr="004F34AF">
        <w:trPr>
          <w:trHeight w:val="548"/>
        </w:trPr>
        <w:tc>
          <w:tcPr>
            <w:tcW w:w="1133" w:type="dxa"/>
            <w:tcBorders>
              <w:top w:val="single" w:sz="4" w:space="0" w:color="auto"/>
            </w:tcBorders>
            <w:vAlign w:val="center"/>
          </w:tcPr>
          <w:p w:rsidR="008D5DE0" w:rsidRPr="001B2128" w:rsidRDefault="008D5DE0" w:rsidP="00DC70A3">
            <w:pPr>
              <w:jc w:val="center"/>
              <w:rPr>
                <w:rFonts w:ascii="Arial" w:hAnsi="Arial" w:cs="Arial"/>
                <w:b/>
                <w:lang w:val="sr-Latn-ME"/>
              </w:rPr>
            </w:pPr>
            <w:r w:rsidRPr="001B2128">
              <w:rPr>
                <w:rFonts w:ascii="Arial" w:hAnsi="Arial" w:cs="Arial"/>
                <w:b/>
                <w:lang w:val="sr-Latn-ME"/>
              </w:rPr>
              <w:t>5</w:t>
            </w:r>
          </w:p>
        </w:tc>
        <w:tc>
          <w:tcPr>
            <w:tcW w:w="2074" w:type="dxa"/>
            <w:tcBorders>
              <w:top w:val="single" w:sz="4" w:space="0" w:color="auto"/>
            </w:tcBorders>
            <w:vAlign w:val="center"/>
          </w:tcPr>
          <w:p w:rsidR="008D5DE0" w:rsidRPr="001B2128" w:rsidRDefault="008D5DE0" w:rsidP="00DC70A3">
            <w:pPr>
              <w:jc w:val="center"/>
              <w:rPr>
                <w:rFonts w:ascii="Arial" w:hAnsi="Arial" w:cs="Arial"/>
                <w:lang w:val="sr-Latn-ME"/>
              </w:rPr>
            </w:pPr>
            <w:r w:rsidRPr="001B2128">
              <w:rPr>
                <w:rFonts w:ascii="Arial" w:hAnsi="Arial" w:cs="Arial"/>
                <w:lang w:val="sr-Latn-ME"/>
              </w:rPr>
              <w:t xml:space="preserve">Gotovo sigurno </w:t>
            </w:r>
          </w:p>
        </w:tc>
        <w:tc>
          <w:tcPr>
            <w:tcW w:w="6047" w:type="dxa"/>
            <w:tcBorders>
              <w:top w:val="single" w:sz="4" w:space="0" w:color="auto"/>
            </w:tcBorders>
            <w:vAlign w:val="center"/>
          </w:tcPr>
          <w:p w:rsidR="008D5DE0" w:rsidRPr="001B2128" w:rsidRDefault="008D5DE0" w:rsidP="00DC70A3">
            <w:pPr>
              <w:rPr>
                <w:rFonts w:ascii="Arial" w:hAnsi="Arial" w:cs="Arial"/>
                <w:lang w:val="sr-Latn-ME"/>
              </w:rPr>
            </w:pPr>
            <w:r w:rsidRPr="001B2128">
              <w:rPr>
                <w:rFonts w:ascii="Arial" w:hAnsi="Arial" w:cs="Arial"/>
                <w:lang w:val="sr-Latn-ME"/>
              </w:rPr>
              <w:t>Šanse da će se rizik dogoditi su 90-100%</w:t>
            </w:r>
          </w:p>
        </w:tc>
      </w:tr>
      <w:tr w:rsidR="008D5DE0" w:rsidRPr="001B2128" w:rsidTr="004F34AF">
        <w:trPr>
          <w:trHeight w:val="429"/>
        </w:trPr>
        <w:tc>
          <w:tcPr>
            <w:tcW w:w="1133" w:type="dxa"/>
            <w:vAlign w:val="center"/>
          </w:tcPr>
          <w:p w:rsidR="008D5DE0" w:rsidRPr="001B2128" w:rsidRDefault="008D5DE0" w:rsidP="00DC70A3">
            <w:pPr>
              <w:jc w:val="center"/>
              <w:rPr>
                <w:rFonts w:ascii="Arial" w:hAnsi="Arial" w:cs="Arial"/>
                <w:b/>
                <w:lang w:val="sr-Latn-ME"/>
              </w:rPr>
            </w:pPr>
            <w:r w:rsidRPr="001B2128">
              <w:rPr>
                <w:rFonts w:ascii="Arial" w:hAnsi="Arial" w:cs="Arial"/>
                <w:b/>
                <w:lang w:val="sr-Latn-ME"/>
              </w:rPr>
              <w:t>4</w:t>
            </w:r>
          </w:p>
        </w:tc>
        <w:tc>
          <w:tcPr>
            <w:tcW w:w="2074" w:type="dxa"/>
            <w:vAlign w:val="center"/>
          </w:tcPr>
          <w:p w:rsidR="008D5DE0" w:rsidRPr="001B2128" w:rsidRDefault="008D5DE0" w:rsidP="00DC70A3">
            <w:pPr>
              <w:jc w:val="center"/>
              <w:rPr>
                <w:rFonts w:ascii="Arial" w:hAnsi="Arial" w:cs="Arial"/>
                <w:lang w:val="sr-Latn-ME"/>
              </w:rPr>
            </w:pPr>
            <w:r w:rsidRPr="001B2128">
              <w:rPr>
                <w:rFonts w:ascii="Arial" w:hAnsi="Arial" w:cs="Arial"/>
                <w:lang w:val="sr-Latn-ME"/>
              </w:rPr>
              <w:t xml:space="preserve">Vjerovatno </w:t>
            </w:r>
          </w:p>
        </w:tc>
        <w:tc>
          <w:tcPr>
            <w:tcW w:w="6047" w:type="dxa"/>
            <w:vAlign w:val="center"/>
          </w:tcPr>
          <w:p w:rsidR="008D5DE0" w:rsidRPr="001B2128" w:rsidRDefault="008D5DE0" w:rsidP="00DC70A3">
            <w:pPr>
              <w:rPr>
                <w:rFonts w:ascii="Arial" w:eastAsia="Times New Roman" w:hAnsi="Arial" w:cs="Arial"/>
                <w:bCs/>
                <w:lang w:val="sr-Latn-ME"/>
              </w:rPr>
            </w:pPr>
            <w:r w:rsidRPr="001B2128">
              <w:rPr>
                <w:rFonts w:ascii="Arial" w:eastAsia="Times New Roman" w:hAnsi="Arial" w:cs="Arial"/>
                <w:bCs/>
                <w:lang w:val="sr-Latn-ME"/>
              </w:rPr>
              <w:t>Šanse da će se rizik dogoditi su 70-89%</w:t>
            </w:r>
          </w:p>
        </w:tc>
      </w:tr>
      <w:tr w:rsidR="008D5DE0" w:rsidRPr="001B2128" w:rsidTr="004F34AF">
        <w:trPr>
          <w:trHeight w:val="421"/>
        </w:trPr>
        <w:tc>
          <w:tcPr>
            <w:tcW w:w="1133" w:type="dxa"/>
            <w:vAlign w:val="center"/>
          </w:tcPr>
          <w:p w:rsidR="008D5DE0" w:rsidRPr="001B2128" w:rsidRDefault="008D5DE0" w:rsidP="00DC70A3">
            <w:pPr>
              <w:jc w:val="center"/>
              <w:rPr>
                <w:rFonts w:ascii="Arial" w:hAnsi="Arial" w:cs="Arial"/>
                <w:b/>
                <w:lang w:val="sr-Latn-ME"/>
              </w:rPr>
            </w:pPr>
            <w:r w:rsidRPr="001B2128">
              <w:rPr>
                <w:rFonts w:ascii="Arial" w:hAnsi="Arial" w:cs="Arial"/>
                <w:b/>
                <w:lang w:val="sr-Latn-ME"/>
              </w:rPr>
              <w:t>3</w:t>
            </w:r>
          </w:p>
        </w:tc>
        <w:tc>
          <w:tcPr>
            <w:tcW w:w="2074" w:type="dxa"/>
            <w:vAlign w:val="center"/>
          </w:tcPr>
          <w:p w:rsidR="008D5DE0" w:rsidRPr="001B2128" w:rsidRDefault="008D5DE0" w:rsidP="00DC70A3">
            <w:pPr>
              <w:jc w:val="center"/>
              <w:rPr>
                <w:rFonts w:ascii="Arial" w:hAnsi="Arial" w:cs="Arial"/>
                <w:lang w:val="sr-Latn-ME"/>
              </w:rPr>
            </w:pPr>
            <w:r w:rsidRPr="001B2128">
              <w:rPr>
                <w:rFonts w:ascii="Arial" w:hAnsi="Arial" w:cs="Arial"/>
                <w:lang w:val="sr-Latn-ME"/>
              </w:rPr>
              <w:t>Umjereno</w:t>
            </w:r>
          </w:p>
        </w:tc>
        <w:tc>
          <w:tcPr>
            <w:tcW w:w="6047" w:type="dxa"/>
            <w:vAlign w:val="center"/>
          </w:tcPr>
          <w:p w:rsidR="008D5DE0" w:rsidRPr="001B2128" w:rsidRDefault="008D5DE0" w:rsidP="00DC70A3">
            <w:pPr>
              <w:rPr>
                <w:rFonts w:ascii="Arial" w:eastAsia="Times New Roman" w:hAnsi="Arial" w:cs="Arial"/>
                <w:bCs/>
                <w:lang w:val="sr-Latn-ME"/>
              </w:rPr>
            </w:pPr>
            <w:r w:rsidRPr="001B2128">
              <w:rPr>
                <w:rFonts w:ascii="Arial" w:eastAsia="Times New Roman" w:hAnsi="Arial" w:cs="Arial"/>
                <w:bCs/>
                <w:lang w:val="sr-Latn-ME"/>
              </w:rPr>
              <w:t>Šanse da će se rizik dogoditi su 50-69%</w:t>
            </w:r>
          </w:p>
        </w:tc>
      </w:tr>
      <w:tr w:rsidR="008D5DE0" w:rsidRPr="001B2128" w:rsidTr="004F34AF">
        <w:trPr>
          <w:trHeight w:val="500"/>
        </w:trPr>
        <w:tc>
          <w:tcPr>
            <w:tcW w:w="1133" w:type="dxa"/>
            <w:vAlign w:val="center"/>
          </w:tcPr>
          <w:p w:rsidR="008D5DE0" w:rsidRPr="001B2128" w:rsidRDefault="008D5DE0" w:rsidP="00DC70A3">
            <w:pPr>
              <w:jc w:val="center"/>
              <w:rPr>
                <w:rFonts w:ascii="Arial" w:hAnsi="Arial" w:cs="Arial"/>
                <w:b/>
                <w:lang w:val="sr-Latn-ME"/>
              </w:rPr>
            </w:pPr>
            <w:r w:rsidRPr="001B2128">
              <w:rPr>
                <w:rFonts w:ascii="Arial" w:hAnsi="Arial" w:cs="Arial"/>
                <w:b/>
                <w:lang w:val="sr-Latn-ME"/>
              </w:rPr>
              <w:t>2</w:t>
            </w:r>
          </w:p>
        </w:tc>
        <w:tc>
          <w:tcPr>
            <w:tcW w:w="2074" w:type="dxa"/>
            <w:vAlign w:val="center"/>
          </w:tcPr>
          <w:p w:rsidR="008D5DE0" w:rsidRPr="001B2128" w:rsidRDefault="008D5DE0" w:rsidP="00DC70A3">
            <w:pPr>
              <w:jc w:val="center"/>
              <w:rPr>
                <w:rFonts w:ascii="Arial" w:hAnsi="Arial" w:cs="Arial"/>
                <w:lang w:val="sr-Latn-ME"/>
              </w:rPr>
            </w:pPr>
            <w:r w:rsidRPr="001B2128">
              <w:rPr>
                <w:rFonts w:ascii="Arial" w:hAnsi="Arial" w:cs="Arial"/>
                <w:lang w:val="sr-Latn-ME"/>
              </w:rPr>
              <w:t xml:space="preserve">Rijetko </w:t>
            </w:r>
          </w:p>
        </w:tc>
        <w:tc>
          <w:tcPr>
            <w:tcW w:w="6047" w:type="dxa"/>
            <w:vAlign w:val="center"/>
          </w:tcPr>
          <w:p w:rsidR="008D5DE0" w:rsidRPr="001B2128" w:rsidRDefault="008D5DE0" w:rsidP="00DC70A3">
            <w:pPr>
              <w:rPr>
                <w:rFonts w:ascii="Arial" w:hAnsi="Arial" w:cs="Arial"/>
                <w:lang w:val="sr-Latn-ME"/>
              </w:rPr>
            </w:pPr>
            <w:r w:rsidRPr="001B2128">
              <w:rPr>
                <w:rFonts w:ascii="Arial" w:hAnsi="Arial" w:cs="Arial"/>
                <w:lang w:val="sr-Latn-ME"/>
              </w:rPr>
              <w:t>Šanse da se rizik neće dogoditi su 30-49%</w:t>
            </w:r>
          </w:p>
        </w:tc>
      </w:tr>
      <w:tr w:rsidR="008D5DE0" w:rsidRPr="001B2128" w:rsidTr="004F34AF">
        <w:trPr>
          <w:trHeight w:val="423"/>
        </w:trPr>
        <w:tc>
          <w:tcPr>
            <w:tcW w:w="1133" w:type="dxa"/>
            <w:vAlign w:val="center"/>
          </w:tcPr>
          <w:p w:rsidR="008D5DE0" w:rsidRPr="001B2128" w:rsidRDefault="008D5DE0" w:rsidP="00DC70A3">
            <w:pPr>
              <w:jc w:val="center"/>
              <w:rPr>
                <w:rFonts w:ascii="Arial" w:hAnsi="Arial" w:cs="Arial"/>
                <w:b/>
                <w:lang w:val="sr-Latn-ME"/>
              </w:rPr>
            </w:pPr>
            <w:r w:rsidRPr="001B2128">
              <w:rPr>
                <w:rFonts w:ascii="Arial" w:hAnsi="Arial" w:cs="Arial"/>
                <w:b/>
                <w:lang w:val="sr-Latn-ME"/>
              </w:rPr>
              <w:t>1</w:t>
            </w:r>
          </w:p>
        </w:tc>
        <w:tc>
          <w:tcPr>
            <w:tcW w:w="2074" w:type="dxa"/>
            <w:vAlign w:val="center"/>
          </w:tcPr>
          <w:p w:rsidR="008D5DE0" w:rsidRPr="001B2128" w:rsidRDefault="008D5DE0" w:rsidP="00DC70A3">
            <w:pPr>
              <w:jc w:val="center"/>
              <w:rPr>
                <w:rFonts w:ascii="Arial" w:hAnsi="Arial" w:cs="Arial"/>
                <w:lang w:val="sr-Latn-ME"/>
              </w:rPr>
            </w:pPr>
            <w:r w:rsidRPr="001B2128">
              <w:rPr>
                <w:rFonts w:ascii="Arial" w:hAnsi="Arial" w:cs="Arial"/>
                <w:lang w:val="sr-Latn-ME"/>
              </w:rPr>
              <w:t>Sasvim rijetko</w:t>
            </w:r>
          </w:p>
        </w:tc>
        <w:tc>
          <w:tcPr>
            <w:tcW w:w="6047" w:type="dxa"/>
            <w:vAlign w:val="center"/>
          </w:tcPr>
          <w:p w:rsidR="008D5DE0" w:rsidRPr="001B2128" w:rsidRDefault="008D5DE0" w:rsidP="00DC70A3">
            <w:pPr>
              <w:rPr>
                <w:rFonts w:ascii="Arial" w:hAnsi="Arial" w:cs="Arial"/>
                <w:lang w:val="sr-Latn-ME"/>
              </w:rPr>
            </w:pPr>
            <w:r w:rsidRPr="001B2128">
              <w:rPr>
                <w:rFonts w:ascii="Arial" w:hAnsi="Arial" w:cs="Arial"/>
                <w:lang w:val="sr-Latn-ME"/>
              </w:rPr>
              <w:t>Šanse da se rizik neće pojaviti su 1 - 29%</w:t>
            </w:r>
          </w:p>
        </w:tc>
      </w:tr>
    </w:tbl>
    <w:p w:rsidR="008D5DE0" w:rsidRPr="001B2128" w:rsidRDefault="008D5DE0" w:rsidP="004F34AF">
      <w:pPr>
        <w:tabs>
          <w:tab w:val="left" w:pos="709"/>
        </w:tabs>
        <w:jc w:val="both"/>
        <w:rPr>
          <w:rFonts w:ascii="Arial" w:hAnsi="Arial" w:cs="Arial"/>
          <w:lang w:val="sr-Latn-ME"/>
        </w:rPr>
      </w:pPr>
      <w:r w:rsidRPr="001B2128">
        <w:rPr>
          <w:rFonts w:ascii="Arial" w:hAnsi="Arial" w:cs="Arial"/>
          <w:lang w:val="sr-Latn-ME"/>
        </w:rPr>
        <w:t>Procjena ukupne izloženosti riziku, odnosno rangiranje rizika, potrebna je kako bi se utvrdili prioriteti, tj. najznačajniji rizici kojima treba upravljati. Rezultat ukupne izloženosti riziku je rezultat množenja ocjena uticaja i vjerojatnoće nastanka pojedinog rizika.</w:t>
      </w:r>
    </w:p>
    <w:p w:rsidR="00185083" w:rsidRPr="001B2128" w:rsidRDefault="00185083" w:rsidP="00966BF3">
      <w:pPr>
        <w:spacing w:line="240" w:lineRule="atLeast"/>
        <w:ind w:left="-142"/>
        <w:contextualSpacing/>
        <w:jc w:val="both"/>
        <w:rPr>
          <w:rFonts w:ascii="Arial" w:hAnsi="Arial" w:cs="Arial"/>
          <w:lang w:val="sr-Latn-ME"/>
        </w:rPr>
      </w:pPr>
    </w:p>
    <w:p w:rsidR="00185083" w:rsidRPr="001B2128" w:rsidRDefault="00185083" w:rsidP="00966BF3">
      <w:pPr>
        <w:spacing w:line="240" w:lineRule="atLeast"/>
        <w:ind w:left="-142"/>
        <w:contextualSpacing/>
        <w:jc w:val="both"/>
        <w:rPr>
          <w:rFonts w:ascii="Arial" w:hAnsi="Arial" w:cs="Arial"/>
          <w:lang w:val="sr-Latn-ME"/>
        </w:rPr>
      </w:pPr>
    </w:p>
    <w:p w:rsidR="00966BF3" w:rsidRPr="001B2128" w:rsidRDefault="008D5DE0" w:rsidP="00966BF3">
      <w:pPr>
        <w:spacing w:line="240" w:lineRule="atLeast"/>
        <w:ind w:left="-142"/>
        <w:contextualSpacing/>
        <w:jc w:val="both"/>
        <w:rPr>
          <w:rFonts w:ascii="Arial" w:hAnsi="Arial" w:cs="Arial"/>
          <w:lang w:val="sr-Latn-ME"/>
        </w:rPr>
      </w:pPr>
      <w:r w:rsidRPr="001B2128">
        <w:rPr>
          <w:rFonts w:ascii="Arial" w:hAnsi="Arial" w:cs="Arial"/>
          <w:lang w:val="sr-Latn-ME"/>
        </w:rPr>
        <w:lastRenderedPageBreak/>
        <w:t xml:space="preserve">Rangiranje rizika je potrebno kako bi se utvrdili prioriteti, odnosno najznačajniji rizici kojima treba upravljati. Rangiranje rizika je rezultat množenja ocjena uticaja i vjerojatnoće nastanka identifikovanog rizika. Međutim, treba biti oprezan u kombinovanju uticaja i vjerovatnoće kao proste matematičke operacije. </w:t>
      </w:r>
    </w:p>
    <w:p w:rsidR="008D5DE0" w:rsidRPr="001B2128" w:rsidRDefault="008D5DE0" w:rsidP="00966BF3">
      <w:pPr>
        <w:spacing w:line="240" w:lineRule="atLeast"/>
        <w:ind w:left="-142"/>
        <w:contextualSpacing/>
        <w:jc w:val="both"/>
        <w:rPr>
          <w:rFonts w:ascii="Arial" w:hAnsi="Arial" w:cs="Arial"/>
          <w:lang w:val="sr-Latn-ME"/>
        </w:rPr>
      </w:pPr>
      <w:r w:rsidRPr="001B2128">
        <w:rPr>
          <w:rFonts w:ascii="Arial" w:hAnsi="Arial" w:cs="Arial"/>
          <w:lang w:val="sr-Latn-ME"/>
        </w:rPr>
        <w:t>Npr. rizik koji ima veliki uticaj, a m</w:t>
      </w:r>
      <w:r w:rsidR="00185083" w:rsidRPr="001B2128">
        <w:rPr>
          <w:rFonts w:ascii="Arial" w:hAnsi="Arial" w:cs="Arial"/>
          <w:lang w:val="sr-Latn-ME"/>
        </w:rPr>
        <w:t>alu vjerovatnoću matematički je</w:t>
      </w:r>
      <w:r w:rsidRPr="001B2128">
        <w:rPr>
          <w:rFonts w:ascii="Arial" w:hAnsi="Arial" w:cs="Arial"/>
          <w:lang w:val="sr-Latn-ME"/>
        </w:rPr>
        <w:t xml:space="preserve"> jednak riziku koji ima mali uticaj, a veliku vjerovatnoću - što može dovesti do pogrešnog zaključka, jer se ovi rizici rješavaju na različite načine. Rangiranje rizika najčešće se prikazuje pomoću matrice u kojoj se unose uticaj i vjerovatnoća, a koja je data u nastavku: </w:t>
      </w:r>
    </w:p>
    <w:tbl>
      <w:tblPr>
        <w:tblStyle w:val="TableGrid"/>
        <w:tblW w:w="5637" w:type="dxa"/>
        <w:tblInd w:w="1332" w:type="dxa"/>
        <w:tblLayout w:type="fixed"/>
        <w:tblLook w:val="04A0" w:firstRow="1" w:lastRow="0" w:firstColumn="1" w:lastColumn="0" w:noHBand="0" w:noVBand="1"/>
      </w:tblPr>
      <w:tblGrid>
        <w:gridCol w:w="959"/>
        <w:gridCol w:w="567"/>
        <w:gridCol w:w="709"/>
        <w:gridCol w:w="709"/>
        <w:gridCol w:w="708"/>
        <w:gridCol w:w="709"/>
        <w:gridCol w:w="567"/>
        <w:gridCol w:w="709"/>
      </w:tblGrid>
      <w:tr w:rsidR="008D5DE0" w:rsidRPr="001B2128" w:rsidTr="00DC70A3">
        <w:trPr>
          <w:trHeight w:val="549"/>
        </w:trPr>
        <w:tc>
          <w:tcPr>
            <w:tcW w:w="959" w:type="dxa"/>
            <w:vMerge w:val="restart"/>
            <w:tcBorders>
              <w:top w:val="nil"/>
              <w:left w:val="nil"/>
            </w:tcBorders>
          </w:tcPr>
          <w:p w:rsidR="008D5DE0" w:rsidRPr="001B2128" w:rsidRDefault="008D5DE0" w:rsidP="00DC70A3">
            <w:pPr>
              <w:pStyle w:val="ListParagraph"/>
              <w:ind w:left="0"/>
              <w:jc w:val="both"/>
              <w:rPr>
                <w:rFonts w:ascii="Arial" w:hAnsi="Arial" w:cs="Arial"/>
                <w:lang w:val="sr-Latn-ME"/>
              </w:rPr>
            </w:pPr>
          </w:p>
        </w:tc>
        <w:tc>
          <w:tcPr>
            <w:tcW w:w="567" w:type="dxa"/>
            <w:vMerge w:val="restart"/>
            <w:shd w:val="clear" w:color="auto" w:fill="7030A0"/>
          </w:tcPr>
          <w:p w:rsidR="008D5DE0" w:rsidRPr="001B2128" w:rsidRDefault="008D5DE0" w:rsidP="00DC70A3">
            <w:pPr>
              <w:pStyle w:val="ListParagraph"/>
              <w:shd w:val="clear" w:color="auto" w:fill="7030A0"/>
              <w:ind w:left="0"/>
              <w:jc w:val="both"/>
              <w:rPr>
                <w:rFonts w:ascii="Arial" w:hAnsi="Arial" w:cs="Arial"/>
                <w:b/>
                <w:lang w:val="sr-Latn-ME"/>
              </w:rPr>
            </w:pPr>
          </w:p>
          <w:p w:rsidR="008D5DE0" w:rsidRPr="001B2128" w:rsidRDefault="008D5DE0" w:rsidP="00DC70A3">
            <w:pPr>
              <w:pStyle w:val="ListParagraph"/>
              <w:shd w:val="clear" w:color="auto" w:fill="7030A0"/>
              <w:ind w:left="0"/>
              <w:jc w:val="center"/>
              <w:rPr>
                <w:rFonts w:ascii="Arial" w:hAnsi="Arial" w:cs="Arial"/>
                <w:b/>
                <w:lang w:val="sr-Latn-ME"/>
              </w:rPr>
            </w:pPr>
            <w:r w:rsidRPr="001B2128">
              <w:rPr>
                <w:rFonts w:ascii="Arial" w:hAnsi="Arial" w:cs="Arial"/>
                <w:b/>
                <w:lang w:val="sr-Latn-ME"/>
              </w:rPr>
              <w:t>U</w:t>
            </w:r>
          </w:p>
          <w:p w:rsidR="008D5DE0" w:rsidRPr="001B2128" w:rsidRDefault="008D5DE0" w:rsidP="00DC70A3">
            <w:pPr>
              <w:pStyle w:val="ListParagraph"/>
              <w:shd w:val="clear" w:color="auto" w:fill="7030A0"/>
              <w:ind w:left="0"/>
              <w:jc w:val="center"/>
              <w:rPr>
                <w:rFonts w:ascii="Arial" w:hAnsi="Arial" w:cs="Arial"/>
                <w:b/>
                <w:lang w:val="sr-Latn-ME"/>
              </w:rPr>
            </w:pPr>
          </w:p>
          <w:p w:rsidR="008D5DE0" w:rsidRPr="001B2128" w:rsidRDefault="008D5DE0" w:rsidP="00DC70A3">
            <w:pPr>
              <w:pStyle w:val="ListParagraph"/>
              <w:shd w:val="clear" w:color="auto" w:fill="7030A0"/>
              <w:ind w:left="0"/>
              <w:jc w:val="center"/>
              <w:rPr>
                <w:rFonts w:ascii="Arial" w:hAnsi="Arial" w:cs="Arial"/>
                <w:b/>
                <w:lang w:val="sr-Latn-ME"/>
              </w:rPr>
            </w:pPr>
            <w:r w:rsidRPr="001B2128">
              <w:rPr>
                <w:rFonts w:ascii="Arial" w:hAnsi="Arial" w:cs="Arial"/>
                <w:b/>
                <w:lang w:val="sr-Latn-ME"/>
              </w:rPr>
              <w:t>T</w:t>
            </w:r>
          </w:p>
          <w:p w:rsidR="008D5DE0" w:rsidRPr="001B2128" w:rsidRDefault="008D5DE0" w:rsidP="00DC70A3">
            <w:pPr>
              <w:pStyle w:val="ListParagraph"/>
              <w:shd w:val="clear" w:color="auto" w:fill="7030A0"/>
              <w:ind w:left="0"/>
              <w:jc w:val="center"/>
              <w:rPr>
                <w:rFonts w:ascii="Arial" w:hAnsi="Arial" w:cs="Arial"/>
                <w:b/>
                <w:lang w:val="sr-Latn-ME"/>
              </w:rPr>
            </w:pPr>
          </w:p>
          <w:p w:rsidR="008D5DE0" w:rsidRPr="001B2128" w:rsidRDefault="008D5DE0" w:rsidP="00DC70A3">
            <w:pPr>
              <w:pStyle w:val="ListParagraph"/>
              <w:shd w:val="clear" w:color="auto" w:fill="7030A0"/>
              <w:ind w:left="0"/>
              <w:jc w:val="center"/>
              <w:rPr>
                <w:rFonts w:ascii="Arial" w:hAnsi="Arial" w:cs="Arial"/>
                <w:b/>
                <w:lang w:val="sr-Latn-ME"/>
              </w:rPr>
            </w:pPr>
            <w:r w:rsidRPr="001B2128">
              <w:rPr>
                <w:rFonts w:ascii="Arial" w:hAnsi="Arial" w:cs="Arial"/>
                <w:b/>
                <w:lang w:val="sr-Latn-ME"/>
              </w:rPr>
              <w:t>I</w:t>
            </w:r>
          </w:p>
          <w:p w:rsidR="008D5DE0" w:rsidRPr="001B2128" w:rsidRDefault="008D5DE0" w:rsidP="00DC70A3">
            <w:pPr>
              <w:pStyle w:val="ListParagraph"/>
              <w:shd w:val="clear" w:color="auto" w:fill="7030A0"/>
              <w:ind w:left="0"/>
              <w:jc w:val="center"/>
              <w:rPr>
                <w:rFonts w:ascii="Arial" w:hAnsi="Arial" w:cs="Arial"/>
                <w:b/>
                <w:lang w:val="sr-Latn-ME"/>
              </w:rPr>
            </w:pPr>
          </w:p>
          <w:p w:rsidR="008D5DE0" w:rsidRPr="001B2128" w:rsidRDefault="008D5DE0" w:rsidP="00DC70A3">
            <w:pPr>
              <w:pStyle w:val="ListParagraph"/>
              <w:shd w:val="clear" w:color="auto" w:fill="7030A0"/>
              <w:ind w:left="0"/>
              <w:jc w:val="center"/>
              <w:rPr>
                <w:rFonts w:ascii="Arial" w:hAnsi="Arial" w:cs="Arial"/>
                <w:b/>
                <w:lang w:val="sr-Latn-ME"/>
              </w:rPr>
            </w:pPr>
            <w:r w:rsidRPr="001B2128">
              <w:rPr>
                <w:rFonts w:ascii="Arial" w:hAnsi="Arial" w:cs="Arial"/>
                <w:b/>
                <w:lang w:val="sr-Latn-ME"/>
              </w:rPr>
              <w:t>C</w:t>
            </w:r>
          </w:p>
          <w:p w:rsidR="008D5DE0" w:rsidRPr="001B2128" w:rsidRDefault="008D5DE0" w:rsidP="00DC70A3">
            <w:pPr>
              <w:pStyle w:val="ListParagraph"/>
              <w:shd w:val="clear" w:color="auto" w:fill="7030A0"/>
              <w:ind w:left="0"/>
              <w:jc w:val="center"/>
              <w:rPr>
                <w:rFonts w:ascii="Arial" w:hAnsi="Arial" w:cs="Arial"/>
                <w:b/>
                <w:lang w:val="sr-Latn-ME"/>
              </w:rPr>
            </w:pPr>
          </w:p>
          <w:p w:rsidR="008D5DE0" w:rsidRPr="001B2128" w:rsidRDefault="008D5DE0" w:rsidP="00DC70A3">
            <w:pPr>
              <w:pStyle w:val="ListParagraph"/>
              <w:shd w:val="clear" w:color="auto" w:fill="7030A0"/>
              <w:ind w:left="0"/>
              <w:jc w:val="center"/>
              <w:rPr>
                <w:rFonts w:ascii="Arial" w:hAnsi="Arial" w:cs="Arial"/>
                <w:b/>
                <w:lang w:val="sr-Latn-ME"/>
              </w:rPr>
            </w:pPr>
            <w:r w:rsidRPr="001B2128">
              <w:rPr>
                <w:rFonts w:ascii="Arial" w:hAnsi="Arial" w:cs="Arial"/>
                <w:b/>
                <w:lang w:val="sr-Latn-ME"/>
              </w:rPr>
              <w:t>A</w:t>
            </w:r>
          </w:p>
          <w:p w:rsidR="008D5DE0" w:rsidRPr="001B2128" w:rsidRDefault="008D5DE0" w:rsidP="00DC70A3">
            <w:pPr>
              <w:pStyle w:val="ListParagraph"/>
              <w:shd w:val="clear" w:color="auto" w:fill="7030A0"/>
              <w:ind w:left="0"/>
              <w:jc w:val="center"/>
              <w:rPr>
                <w:rFonts w:ascii="Arial" w:hAnsi="Arial" w:cs="Arial"/>
                <w:b/>
                <w:lang w:val="sr-Latn-ME"/>
              </w:rPr>
            </w:pPr>
          </w:p>
          <w:p w:rsidR="008D5DE0" w:rsidRPr="001B2128" w:rsidRDefault="008D5DE0" w:rsidP="00DC70A3">
            <w:pPr>
              <w:pStyle w:val="ListParagraph"/>
              <w:shd w:val="clear" w:color="auto" w:fill="7030A0"/>
              <w:ind w:left="0"/>
              <w:jc w:val="center"/>
              <w:rPr>
                <w:rFonts w:ascii="Arial" w:hAnsi="Arial" w:cs="Arial"/>
                <w:b/>
                <w:lang w:val="sr-Latn-ME"/>
              </w:rPr>
            </w:pPr>
            <w:r w:rsidRPr="001B2128">
              <w:rPr>
                <w:rFonts w:ascii="Arial" w:hAnsi="Arial" w:cs="Arial"/>
                <w:b/>
                <w:lang w:val="sr-Latn-ME"/>
              </w:rPr>
              <w:t>J</w:t>
            </w:r>
          </w:p>
          <w:p w:rsidR="008D5DE0" w:rsidRPr="001B2128" w:rsidRDefault="008D5DE0" w:rsidP="00DC70A3">
            <w:pPr>
              <w:pStyle w:val="ListParagraph"/>
              <w:ind w:left="0"/>
              <w:jc w:val="both"/>
              <w:rPr>
                <w:rFonts w:ascii="Arial" w:hAnsi="Arial" w:cs="Arial"/>
                <w:b/>
                <w:lang w:val="sr-Latn-ME"/>
              </w:rPr>
            </w:pPr>
          </w:p>
        </w:tc>
        <w:tc>
          <w:tcPr>
            <w:tcW w:w="709" w:type="dxa"/>
            <w:shd w:val="clear" w:color="auto" w:fill="FFFFFF" w:themeFill="background1"/>
          </w:tcPr>
          <w:p w:rsidR="008D5DE0" w:rsidRPr="001B2128" w:rsidRDefault="008D5DE0" w:rsidP="00DC70A3">
            <w:pPr>
              <w:pStyle w:val="ListParagraph"/>
              <w:ind w:left="0"/>
              <w:jc w:val="both"/>
              <w:rPr>
                <w:rFonts w:ascii="Arial" w:hAnsi="Arial" w:cs="Arial"/>
                <w:lang w:val="sr-Latn-ME"/>
              </w:rPr>
            </w:pPr>
            <w:r w:rsidRPr="001B2128">
              <w:rPr>
                <w:rFonts w:ascii="Arial" w:hAnsi="Arial" w:cs="Arial"/>
                <w:lang w:val="sr-Latn-ME"/>
              </w:rPr>
              <w:t>5</w:t>
            </w:r>
          </w:p>
        </w:tc>
        <w:tc>
          <w:tcPr>
            <w:tcW w:w="709" w:type="dxa"/>
            <w:shd w:val="clear" w:color="auto" w:fill="FFCCCC"/>
          </w:tcPr>
          <w:p w:rsidR="008D5DE0" w:rsidRPr="001B2128" w:rsidRDefault="008D5DE0" w:rsidP="00DC70A3">
            <w:pPr>
              <w:pStyle w:val="ListParagraph"/>
              <w:ind w:left="0"/>
              <w:jc w:val="both"/>
              <w:rPr>
                <w:rFonts w:ascii="Arial" w:hAnsi="Arial" w:cs="Arial"/>
                <w:lang w:val="sr-Latn-ME"/>
              </w:rPr>
            </w:pPr>
            <w:r w:rsidRPr="001B2128">
              <w:rPr>
                <w:rFonts w:ascii="Arial" w:hAnsi="Arial" w:cs="Arial"/>
                <w:lang w:val="sr-Latn-ME"/>
              </w:rPr>
              <w:t>5</w:t>
            </w:r>
          </w:p>
        </w:tc>
        <w:tc>
          <w:tcPr>
            <w:tcW w:w="708" w:type="dxa"/>
            <w:shd w:val="clear" w:color="auto" w:fill="9999FF"/>
          </w:tcPr>
          <w:p w:rsidR="008D5DE0" w:rsidRPr="001B2128" w:rsidRDefault="008D5DE0" w:rsidP="00DC70A3">
            <w:pPr>
              <w:pStyle w:val="ListParagraph"/>
              <w:ind w:left="0"/>
              <w:jc w:val="both"/>
              <w:rPr>
                <w:rFonts w:ascii="Arial" w:hAnsi="Arial" w:cs="Arial"/>
                <w:lang w:val="sr-Latn-ME"/>
              </w:rPr>
            </w:pPr>
            <w:r w:rsidRPr="001B2128">
              <w:rPr>
                <w:rFonts w:ascii="Arial" w:hAnsi="Arial" w:cs="Arial"/>
                <w:lang w:val="sr-Latn-ME"/>
              </w:rPr>
              <w:t>10</w:t>
            </w:r>
          </w:p>
        </w:tc>
        <w:tc>
          <w:tcPr>
            <w:tcW w:w="709" w:type="dxa"/>
            <w:shd w:val="clear" w:color="auto" w:fill="FF0000"/>
          </w:tcPr>
          <w:p w:rsidR="008D5DE0" w:rsidRPr="001B2128" w:rsidRDefault="008D5DE0" w:rsidP="00DC70A3">
            <w:pPr>
              <w:pStyle w:val="ListParagraph"/>
              <w:ind w:left="0"/>
              <w:jc w:val="both"/>
              <w:rPr>
                <w:rFonts w:ascii="Arial" w:hAnsi="Arial" w:cs="Arial"/>
                <w:lang w:val="sr-Latn-ME"/>
              </w:rPr>
            </w:pPr>
            <w:r w:rsidRPr="001B2128">
              <w:rPr>
                <w:rFonts w:ascii="Arial" w:hAnsi="Arial" w:cs="Arial"/>
                <w:lang w:val="sr-Latn-ME"/>
              </w:rPr>
              <w:t>15</w:t>
            </w:r>
          </w:p>
        </w:tc>
        <w:tc>
          <w:tcPr>
            <w:tcW w:w="567" w:type="dxa"/>
            <w:shd w:val="clear" w:color="auto" w:fill="FF0000"/>
          </w:tcPr>
          <w:p w:rsidR="008D5DE0" w:rsidRPr="001B2128" w:rsidRDefault="008D5DE0" w:rsidP="00DC70A3">
            <w:pPr>
              <w:pStyle w:val="ListParagraph"/>
              <w:ind w:left="0"/>
              <w:jc w:val="both"/>
              <w:rPr>
                <w:rFonts w:ascii="Arial" w:hAnsi="Arial" w:cs="Arial"/>
                <w:lang w:val="sr-Latn-ME"/>
              </w:rPr>
            </w:pPr>
            <w:r w:rsidRPr="001B2128">
              <w:rPr>
                <w:rFonts w:ascii="Arial" w:hAnsi="Arial" w:cs="Arial"/>
                <w:lang w:val="sr-Latn-ME"/>
              </w:rPr>
              <w:t>20</w:t>
            </w:r>
          </w:p>
        </w:tc>
        <w:tc>
          <w:tcPr>
            <w:tcW w:w="709" w:type="dxa"/>
            <w:shd w:val="clear" w:color="auto" w:fill="FF0000"/>
          </w:tcPr>
          <w:p w:rsidR="008D5DE0" w:rsidRPr="001B2128" w:rsidRDefault="008D5DE0" w:rsidP="00DC70A3">
            <w:pPr>
              <w:pStyle w:val="ListParagraph"/>
              <w:ind w:left="0"/>
              <w:jc w:val="both"/>
              <w:rPr>
                <w:rFonts w:ascii="Arial" w:hAnsi="Arial" w:cs="Arial"/>
                <w:lang w:val="sr-Latn-ME"/>
              </w:rPr>
            </w:pPr>
            <w:r w:rsidRPr="001B2128">
              <w:rPr>
                <w:rFonts w:ascii="Arial" w:hAnsi="Arial" w:cs="Arial"/>
                <w:lang w:val="sr-Latn-ME"/>
              </w:rPr>
              <w:t>25</w:t>
            </w:r>
          </w:p>
        </w:tc>
      </w:tr>
      <w:tr w:rsidR="008D5DE0" w:rsidRPr="001B2128" w:rsidTr="00DC70A3">
        <w:trPr>
          <w:trHeight w:val="571"/>
        </w:trPr>
        <w:tc>
          <w:tcPr>
            <w:tcW w:w="959" w:type="dxa"/>
            <w:vMerge/>
            <w:tcBorders>
              <w:left w:val="nil"/>
            </w:tcBorders>
          </w:tcPr>
          <w:p w:rsidR="008D5DE0" w:rsidRPr="001B2128" w:rsidRDefault="008D5DE0" w:rsidP="00DC70A3">
            <w:pPr>
              <w:pStyle w:val="ListParagraph"/>
              <w:ind w:left="0"/>
              <w:jc w:val="both"/>
              <w:rPr>
                <w:rFonts w:ascii="Arial" w:hAnsi="Arial" w:cs="Arial"/>
                <w:lang w:val="sr-Latn-ME"/>
              </w:rPr>
            </w:pPr>
          </w:p>
        </w:tc>
        <w:tc>
          <w:tcPr>
            <w:tcW w:w="567" w:type="dxa"/>
            <w:vMerge/>
            <w:shd w:val="clear" w:color="auto" w:fill="7030A0"/>
          </w:tcPr>
          <w:p w:rsidR="008D5DE0" w:rsidRPr="001B2128" w:rsidRDefault="008D5DE0" w:rsidP="00DC70A3">
            <w:pPr>
              <w:pStyle w:val="ListParagraph"/>
              <w:ind w:left="0"/>
              <w:jc w:val="both"/>
              <w:rPr>
                <w:rFonts w:ascii="Arial" w:hAnsi="Arial" w:cs="Arial"/>
                <w:lang w:val="sr-Latn-ME"/>
              </w:rPr>
            </w:pPr>
          </w:p>
        </w:tc>
        <w:tc>
          <w:tcPr>
            <w:tcW w:w="709" w:type="dxa"/>
            <w:shd w:val="clear" w:color="auto" w:fill="FFFFFF" w:themeFill="background1"/>
          </w:tcPr>
          <w:p w:rsidR="008D5DE0" w:rsidRPr="001B2128" w:rsidRDefault="008D5DE0" w:rsidP="00DC70A3">
            <w:pPr>
              <w:pStyle w:val="ListParagraph"/>
              <w:ind w:left="0"/>
              <w:jc w:val="both"/>
              <w:rPr>
                <w:rFonts w:ascii="Arial" w:hAnsi="Arial" w:cs="Arial"/>
                <w:lang w:val="sr-Latn-ME"/>
              </w:rPr>
            </w:pPr>
            <w:r w:rsidRPr="001B2128">
              <w:rPr>
                <w:rFonts w:ascii="Arial" w:hAnsi="Arial" w:cs="Arial"/>
                <w:lang w:val="sr-Latn-ME"/>
              </w:rPr>
              <w:t>4</w:t>
            </w:r>
          </w:p>
        </w:tc>
        <w:tc>
          <w:tcPr>
            <w:tcW w:w="709" w:type="dxa"/>
            <w:shd w:val="clear" w:color="auto" w:fill="FFCCCC"/>
          </w:tcPr>
          <w:p w:rsidR="008D5DE0" w:rsidRPr="001B2128" w:rsidRDefault="008D5DE0" w:rsidP="00DC70A3">
            <w:pPr>
              <w:pStyle w:val="ListParagraph"/>
              <w:ind w:left="0"/>
              <w:jc w:val="both"/>
              <w:rPr>
                <w:rFonts w:ascii="Arial" w:hAnsi="Arial" w:cs="Arial"/>
                <w:lang w:val="sr-Latn-ME"/>
              </w:rPr>
            </w:pPr>
            <w:r w:rsidRPr="001B2128">
              <w:rPr>
                <w:rFonts w:ascii="Arial" w:hAnsi="Arial" w:cs="Arial"/>
                <w:lang w:val="sr-Latn-ME"/>
              </w:rPr>
              <w:t>4</w:t>
            </w:r>
          </w:p>
        </w:tc>
        <w:tc>
          <w:tcPr>
            <w:tcW w:w="708" w:type="dxa"/>
            <w:shd w:val="clear" w:color="auto" w:fill="9999FF"/>
          </w:tcPr>
          <w:p w:rsidR="008D5DE0" w:rsidRPr="001B2128" w:rsidRDefault="008D5DE0" w:rsidP="00DC70A3">
            <w:pPr>
              <w:pStyle w:val="ListParagraph"/>
              <w:ind w:left="0"/>
              <w:jc w:val="both"/>
              <w:rPr>
                <w:rFonts w:ascii="Arial" w:hAnsi="Arial" w:cs="Arial"/>
                <w:lang w:val="sr-Latn-ME"/>
              </w:rPr>
            </w:pPr>
            <w:r w:rsidRPr="001B2128">
              <w:rPr>
                <w:rFonts w:ascii="Arial" w:hAnsi="Arial" w:cs="Arial"/>
                <w:lang w:val="sr-Latn-ME"/>
              </w:rPr>
              <w:t>8</w:t>
            </w:r>
          </w:p>
        </w:tc>
        <w:tc>
          <w:tcPr>
            <w:tcW w:w="709" w:type="dxa"/>
            <w:shd w:val="clear" w:color="auto" w:fill="9999FF"/>
          </w:tcPr>
          <w:p w:rsidR="008D5DE0" w:rsidRPr="001B2128" w:rsidRDefault="008D5DE0" w:rsidP="00DC70A3">
            <w:pPr>
              <w:pStyle w:val="ListParagraph"/>
              <w:ind w:left="0"/>
              <w:jc w:val="both"/>
              <w:rPr>
                <w:rFonts w:ascii="Arial" w:hAnsi="Arial" w:cs="Arial"/>
                <w:lang w:val="sr-Latn-ME"/>
              </w:rPr>
            </w:pPr>
            <w:r w:rsidRPr="001B2128">
              <w:rPr>
                <w:rFonts w:ascii="Arial" w:hAnsi="Arial" w:cs="Arial"/>
                <w:lang w:val="sr-Latn-ME"/>
              </w:rPr>
              <w:t>12</w:t>
            </w:r>
          </w:p>
        </w:tc>
        <w:tc>
          <w:tcPr>
            <w:tcW w:w="567" w:type="dxa"/>
            <w:shd w:val="clear" w:color="auto" w:fill="FF0000"/>
          </w:tcPr>
          <w:p w:rsidR="008D5DE0" w:rsidRPr="001B2128" w:rsidRDefault="008D5DE0" w:rsidP="00DC70A3">
            <w:pPr>
              <w:pStyle w:val="ListParagraph"/>
              <w:ind w:left="0"/>
              <w:jc w:val="both"/>
              <w:rPr>
                <w:rFonts w:ascii="Arial" w:hAnsi="Arial" w:cs="Arial"/>
                <w:lang w:val="sr-Latn-ME"/>
              </w:rPr>
            </w:pPr>
            <w:r w:rsidRPr="001B2128">
              <w:rPr>
                <w:rFonts w:ascii="Arial" w:hAnsi="Arial" w:cs="Arial"/>
                <w:lang w:val="sr-Latn-ME"/>
              </w:rPr>
              <w:t>16</w:t>
            </w:r>
          </w:p>
        </w:tc>
        <w:tc>
          <w:tcPr>
            <w:tcW w:w="709" w:type="dxa"/>
            <w:shd w:val="clear" w:color="auto" w:fill="FF0000"/>
          </w:tcPr>
          <w:p w:rsidR="008D5DE0" w:rsidRPr="001B2128" w:rsidRDefault="008D5DE0" w:rsidP="00DC70A3">
            <w:pPr>
              <w:pStyle w:val="ListParagraph"/>
              <w:ind w:left="0"/>
              <w:jc w:val="both"/>
              <w:rPr>
                <w:rFonts w:ascii="Arial" w:hAnsi="Arial" w:cs="Arial"/>
                <w:lang w:val="sr-Latn-ME"/>
              </w:rPr>
            </w:pPr>
            <w:r w:rsidRPr="001B2128">
              <w:rPr>
                <w:rFonts w:ascii="Arial" w:hAnsi="Arial" w:cs="Arial"/>
                <w:lang w:val="sr-Latn-ME"/>
              </w:rPr>
              <w:t>20</w:t>
            </w:r>
          </w:p>
        </w:tc>
      </w:tr>
      <w:tr w:rsidR="008D5DE0" w:rsidRPr="001B2128" w:rsidTr="00DC70A3">
        <w:trPr>
          <w:trHeight w:val="551"/>
        </w:trPr>
        <w:tc>
          <w:tcPr>
            <w:tcW w:w="959" w:type="dxa"/>
            <w:vMerge/>
            <w:tcBorders>
              <w:left w:val="nil"/>
            </w:tcBorders>
          </w:tcPr>
          <w:p w:rsidR="008D5DE0" w:rsidRPr="001B2128" w:rsidRDefault="008D5DE0" w:rsidP="00DC70A3">
            <w:pPr>
              <w:pStyle w:val="ListParagraph"/>
              <w:ind w:left="0"/>
              <w:jc w:val="both"/>
              <w:rPr>
                <w:rFonts w:ascii="Arial" w:hAnsi="Arial" w:cs="Arial"/>
                <w:lang w:val="sr-Latn-ME"/>
              </w:rPr>
            </w:pPr>
          </w:p>
        </w:tc>
        <w:tc>
          <w:tcPr>
            <w:tcW w:w="567" w:type="dxa"/>
            <w:vMerge/>
            <w:shd w:val="clear" w:color="auto" w:fill="7030A0"/>
          </w:tcPr>
          <w:p w:rsidR="008D5DE0" w:rsidRPr="001B2128" w:rsidRDefault="008D5DE0" w:rsidP="00DC70A3">
            <w:pPr>
              <w:pStyle w:val="ListParagraph"/>
              <w:ind w:left="0"/>
              <w:jc w:val="both"/>
              <w:rPr>
                <w:rFonts w:ascii="Arial" w:hAnsi="Arial" w:cs="Arial"/>
                <w:lang w:val="sr-Latn-ME"/>
              </w:rPr>
            </w:pPr>
          </w:p>
        </w:tc>
        <w:tc>
          <w:tcPr>
            <w:tcW w:w="709" w:type="dxa"/>
            <w:shd w:val="clear" w:color="auto" w:fill="FFFFFF" w:themeFill="background1"/>
          </w:tcPr>
          <w:p w:rsidR="008D5DE0" w:rsidRPr="001B2128" w:rsidRDefault="008D5DE0" w:rsidP="00DC70A3">
            <w:pPr>
              <w:pStyle w:val="ListParagraph"/>
              <w:ind w:left="0"/>
              <w:jc w:val="both"/>
              <w:rPr>
                <w:rFonts w:ascii="Arial" w:hAnsi="Arial" w:cs="Arial"/>
                <w:lang w:val="sr-Latn-ME"/>
              </w:rPr>
            </w:pPr>
            <w:r w:rsidRPr="001B2128">
              <w:rPr>
                <w:rFonts w:ascii="Arial" w:hAnsi="Arial" w:cs="Arial"/>
                <w:lang w:val="sr-Latn-ME"/>
              </w:rPr>
              <w:t>3</w:t>
            </w:r>
          </w:p>
        </w:tc>
        <w:tc>
          <w:tcPr>
            <w:tcW w:w="709" w:type="dxa"/>
            <w:shd w:val="clear" w:color="auto" w:fill="FFCCCC"/>
          </w:tcPr>
          <w:p w:rsidR="008D5DE0" w:rsidRPr="001B2128" w:rsidRDefault="008D5DE0" w:rsidP="00DC70A3">
            <w:pPr>
              <w:pStyle w:val="ListParagraph"/>
              <w:ind w:left="0"/>
              <w:jc w:val="both"/>
              <w:rPr>
                <w:rFonts w:ascii="Arial" w:hAnsi="Arial" w:cs="Arial"/>
                <w:lang w:val="sr-Latn-ME"/>
              </w:rPr>
            </w:pPr>
            <w:r w:rsidRPr="001B2128">
              <w:rPr>
                <w:rFonts w:ascii="Arial" w:hAnsi="Arial" w:cs="Arial"/>
                <w:lang w:val="sr-Latn-ME"/>
              </w:rPr>
              <w:t>3</w:t>
            </w:r>
          </w:p>
        </w:tc>
        <w:tc>
          <w:tcPr>
            <w:tcW w:w="708" w:type="dxa"/>
            <w:shd w:val="clear" w:color="auto" w:fill="9999FF"/>
          </w:tcPr>
          <w:p w:rsidR="008D5DE0" w:rsidRPr="001B2128" w:rsidRDefault="008D5DE0" w:rsidP="00DC70A3">
            <w:pPr>
              <w:pStyle w:val="ListParagraph"/>
              <w:ind w:left="0"/>
              <w:jc w:val="both"/>
              <w:rPr>
                <w:rFonts w:ascii="Arial" w:hAnsi="Arial" w:cs="Arial"/>
                <w:lang w:val="sr-Latn-ME"/>
              </w:rPr>
            </w:pPr>
            <w:r w:rsidRPr="001B2128">
              <w:rPr>
                <w:rFonts w:ascii="Arial" w:hAnsi="Arial" w:cs="Arial"/>
                <w:lang w:val="sr-Latn-ME"/>
              </w:rPr>
              <w:t>6</w:t>
            </w:r>
          </w:p>
        </w:tc>
        <w:tc>
          <w:tcPr>
            <w:tcW w:w="709" w:type="dxa"/>
            <w:shd w:val="clear" w:color="auto" w:fill="9999FF"/>
          </w:tcPr>
          <w:p w:rsidR="008D5DE0" w:rsidRPr="001B2128" w:rsidRDefault="008D5DE0" w:rsidP="00DC70A3">
            <w:pPr>
              <w:pStyle w:val="ListParagraph"/>
              <w:ind w:left="0"/>
              <w:jc w:val="both"/>
              <w:rPr>
                <w:rFonts w:ascii="Arial" w:hAnsi="Arial" w:cs="Arial"/>
                <w:lang w:val="sr-Latn-ME"/>
              </w:rPr>
            </w:pPr>
            <w:r w:rsidRPr="001B2128">
              <w:rPr>
                <w:rFonts w:ascii="Arial" w:hAnsi="Arial" w:cs="Arial"/>
                <w:lang w:val="sr-Latn-ME"/>
              </w:rPr>
              <w:t>9</w:t>
            </w:r>
          </w:p>
        </w:tc>
        <w:tc>
          <w:tcPr>
            <w:tcW w:w="567" w:type="dxa"/>
            <w:shd w:val="clear" w:color="auto" w:fill="9999FF"/>
          </w:tcPr>
          <w:p w:rsidR="008D5DE0" w:rsidRPr="001B2128" w:rsidRDefault="008D5DE0" w:rsidP="00DC70A3">
            <w:pPr>
              <w:pStyle w:val="ListParagraph"/>
              <w:ind w:left="0"/>
              <w:jc w:val="both"/>
              <w:rPr>
                <w:rFonts w:ascii="Arial" w:hAnsi="Arial" w:cs="Arial"/>
                <w:lang w:val="sr-Latn-ME"/>
              </w:rPr>
            </w:pPr>
            <w:r w:rsidRPr="001B2128">
              <w:rPr>
                <w:rFonts w:ascii="Arial" w:hAnsi="Arial" w:cs="Arial"/>
                <w:lang w:val="sr-Latn-ME"/>
              </w:rPr>
              <w:t>12</w:t>
            </w:r>
          </w:p>
        </w:tc>
        <w:tc>
          <w:tcPr>
            <w:tcW w:w="709" w:type="dxa"/>
            <w:shd w:val="clear" w:color="auto" w:fill="FF0000"/>
          </w:tcPr>
          <w:p w:rsidR="008D5DE0" w:rsidRPr="001B2128" w:rsidRDefault="008D5DE0" w:rsidP="00DC70A3">
            <w:pPr>
              <w:pStyle w:val="ListParagraph"/>
              <w:ind w:left="0"/>
              <w:jc w:val="both"/>
              <w:rPr>
                <w:rFonts w:ascii="Arial" w:hAnsi="Arial" w:cs="Arial"/>
                <w:lang w:val="sr-Latn-ME"/>
              </w:rPr>
            </w:pPr>
            <w:r w:rsidRPr="001B2128">
              <w:rPr>
                <w:rFonts w:ascii="Arial" w:hAnsi="Arial" w:cs="Arial"/>
                <w:lang w:val="sr-Latn-ME"/>
              </w:rPr>
              <w:t>15</w:t>
            </w:r>
          </w:p>
        </w:tc>
      </w:tr>
      <w:tr w:rsidR="008D5DE0" w:rsidRPr="001B2128" w:rsidTr="00DC70A3">
        <w:trPr>
          <w:trHeight w:val="559"/>
        </w:trPr>
        <w:tc>
          <w:tcPr>
            <w:tcW w:w="959" w:type="dxa"/>
            <w:vMerge/>
            <w:tcBorders>
              <w:left w:val="nil"/>
            </w:tcBorders>
          </w:tcPr>
          <w:p w:rsidR="008D5DE0" w:rsidRPr="001B2128" w:rsidRDefault="008D5DE0" w:rsidP="00DC70A3">
            <w:pPr>
              <w:pStyle w:val="ListParagraph"/>
              <w:ind w:left="0"/>
              <w:jc w:val="both"/>
              <w:rPr>
                <w:rFonts w:ascii="Arial" w:hAnsi="Arial" w:cs="Arial"/>
                <w:lang w:val="sr-Latn-ME"/>
              </w:rPr>
            </w:pPr>
          </w:p>
        </w:tc>
        <w:tc>
          <w:tcPr>
            <w:tcW w:w="567" w:type="dxa"/>
            <w:vMerge/>
            <w:shd w:val="clear" w:color="auto" w:fill="7030A0"/>
          </w:tcPr>
          <w:p w:rsidR="008D5DE0" w:rsidRPr="001B2128" w:rsidRDefault="008D5DE0" w:rsidP="00DC70A3">
            <w:pPr>
              <w:pStyle w:val="ListParagraph"/>
              <w:ind w:left="0"/>
              <w:jc w:val="both"/>
              <w:rPr>
                <w:rFonts w:ascii="Arial" w:hAnsi="Arial" w:cs="Arial"/>
                <w:lang w:val="sr-Latn-ME"/>
              </w:rPr>
            </w:pPr>
          </w:p>
        </w:tc>
        <w:tc>
          <w:tcPr>
            <w:tcW w:w="709" w:type="dxa"/>
            <w:shd w:val="clear" w:color="auto" w:fill="FFFFFF" w:themeFill="background1"/>
          </w:tcPr>
          <w:p w:rsidR="008D5DE0" w:rsidRPr="001B2128" w:rsidRDefault="008D5DE0" w:rsidP="00DC70A3">
            <w:pPr>
              <w:pStyle w:val="ListParagraph"/>
              <w:ind w:left="0"/>
              <w:jc w:val="both"/>
              <w:rPr>
                <w:rFonts w:ascii="Arial" w:hAnsi="Arial" w:cs="Arial"/>
                <w:lang w:val="sr-Latn-ME"/>
              </w:rPr>
            </w:pPr>
            <w:r w:rsidRPr="001B2128">
              <w:rPr>
                <w:rFonts w:ascii="Arial" w:hAnsi="Arial" w:cs="Arial"/>
                <w:lang w:val="sr-Latn-ME"/>
              </w:rPr>
              <w:t>2</w:t>
            </w:r>
          </w:p>
        </w:tc>
        <w:tc>
          <w:tcPr>
            <w:tcW w:w="709" w:type="dxa"/>
            <w:shd w:val="clear" w:color="auto" w:fill="FFCCCC"/>
          </w:tcPr>
          <w:p w:rsidR="008D5DE0" w:rsidRPr="001B2128" w:rsidRDefault="008D5DE0" w:rsidP="00DC70A3">
            <w:pPr>
              <w:pStyle w:val="ListParagraph"/>
              <w:ind w:left="0"/>
              <w:jc w:val="both"/>
              <w:rPr>
                <w:rFonts w:ascii="Arial" w:hAnsi="Arial" w:cs="Arial"/>
                <w:lang w:val="sr-Latn-ME"/>
              </w:rPr>
            </w:pPr>
            <w:r w:rsidRPr="001B2128">
              <w:rPr>
                <w:rFonts w:ascii="Arial" w:hAnsi="Arial" w:cs="Arial"/>
                <w:lang w:val="sr-Latn-ME"/>
              </w:rPr>
              <w:t>2</w:t>
            </w:r>
          </w:p>
        </w:tc>
        <w:tc>
          <w:tcPr>
            <w:tcW w:w="708" w:type="dxa"/>
            <w:shd w:val="clear" w:color="auto" w:fill="FFCCCC"/>
          </w:tcPr>
          <w:p w:rsidR="008D5DE0" w:rsidRPr="001B2128" w:rsidRDefault="008D5DE0" w:rsidP="00DC70A3">
            <w:pPr>
              <w:pStyle w:val="ListParagraph"/>
              <w:ind w:left="0"/>
              <w:jc w:val="both"/>
              <w:rPr>
                <w:rFonts w:ascii="Arial" w:hAnsi="Arial" w:cs="Arial"/>
                <w:lang w:val="sr-Latn-ME"/>
              </w:rPr>
            </w:pPr>
            <w:r w:rsidRPr="001B2128">
              <w:rPr>
                <w:rFonts w:ascii="Arial" w:hAnsi="Arial" w:cs="Arial"/>
                <w:lang w:val="sr-Latn-ME"/>
              </w:rPr>
              <w:t>4</w:t>
            </w:r>
          </w:p>
        </w:tc>
        <w:tc>
          <w:tcPr>
            <w:tcW w:w="709" w:type="dxa"/>
            <w:shd w:val="clear" w:color="auto" w:fill="9999FF"/>
          </w:tcPr>
          <w:p w:rsidR="008D5DE0" w:rsidRPr="001B2128" w:rsidRDefault="008D5DE0" w:rsidP="00DC70A3">
            <w:pPr>
              <w:pStyle w:val="ListParagraph"/>
              <w:ind w:left="0"/>
              <w:jc w:val="both"/>
              <w:rPr>
                <w:rFonts w:ascii="Arial" w:hAnsi="Arial" w:cs="Arial"/>
                <w:lang w:val="sr-Latn-ME"/>
              </w:rPr>
            </w:pPr>
            <w:r w:rsidRPr="001B2128">
              <w:rPr>
                <w:rFonts w:ascii="Arial" w:hAnsi="Arial" w:cs="Arial"/>
                <w:lang w:val="sr-Latn-ME"/>
              </w:rPr>
              <w:t>6</w:t>
            </w:r>
          </w:p>
        </w:tc>
        <w:tc>
          <w:tcPr>
            <w:tcW w:w="567" w:type="dxa"/>
            <w:shd w:val="clear" w:color="auto" w:fill="9999FF"/>
          </w:tcPr>
          <w:p w:rsidR="008D5DE0" w:rsidRPr="001B2128" w:rsidRDefault="008D5DE0" w:rsidP="00DC70A3">
            <w:pPr>
              <w:pStyle w:val="ListParagraph"/>
              <w:ind w:left="0"/>
              <w:jc w:val="both"/>
              <w:rPr>
                <w:rFonts w:ascii="Arial" w:hAnsi="Arial" w:cs="Arial"/>
                <w:lang w:val="sr-Latn-ME"/>
              </w:rPr>
            </w:pPr>
            <w:r w:rsidRPr="001B2128">
              <w:rPr>
                <w:rFonts w:ascii="Arial" w:hAnsi="Arial" w:cs="Arial"/>
                <w:lang w:val="sr-Latn-ME"/>
              </w:rPr>
              <w:t>8</w:t>
            </w:r>
          </w:p>
        </w:tc>
        <w:tc>
          <w:tcPr>
            <w:tcW w:w="709" w:type="dxa"/>
            <w:shd w:val="clear" w:color="auto" w:fill="9999FF"/>
          </w:tcPr>
          <w:p w:rsidR="008D5DE0" w:rsidRPr="001B2128" w:rsidRDefault="008D5DE0" w:rsidP="00DC70A3">
            <w:pPr>
              <w:pStyle w:val="ListParagraph"/>
              <w:ind w:left="0"/>
              <w:jc w:val="both"/>
              <w:rPr>
                <w:rFonts w:ascii="Arial" w:hAnsi="Arial" w:cs="Arial"/>
                <w:lang w:val="sr-Latn-ME"/>
              </w:rPr>
            </w:pPr>
            <w:r w:rsidRPr="001B2128">
              <w:rPr>
                <w:rFonts w:ascii="Arial" w:hAnsi="Arial" w:cs="Arial"/>
                <w:lang w:val="sr-Latn-ME"/>
              </w:rPr>
              <w:t>10</w:t>
            </w:r>
          </w:p>
        </w:tc>
      </w:tr>
      <w:tr w:rsidR="008D5DE0" w:rsidRPr="001B2128" w:rsidTr="001F28A8">
        <w:trPr>
          <w:trHeight w:val="600"/>
        </w:trPr>
        <w:tc>
          <w:tcPr>
            <w:tcW w:w="959" w:type="dxa"/>
            <w:vMerge/>
            <w:tcBorders>
              <w:left w:val="nil"/>
            </w:tcBorders>
          </w:tcPr>
          <w:p w:rsidR="008D5DE0" w:rsidRPr="001B2128" w:rsidRDefault="008D5DE0" w:rsidP="00DC70A3">
            <w:pPr>
              <w:pStyle w:val="ListParagraph"/>
              <w:ind w:left="0"/>
              <w:jc w:val="both"/>
              <w:rPr>
                <w:rFonts w:ascii="Arial" w:hAnsi="Arial" w:cs="Arial"/>
                <w:lang w:val="sr-Latn-ME"/>
              </w:rPr>
            </w:pPr>
          </w:p>
        </w:tc>
        <w:tc>
          <w:tcPr>
            <w:tcW w:w="567" w:type="dxa"/>
            <w:vMerge/>
            <w:shd w:val="clear" w:color="auto" w:fill="7030A0"/>
          </w:tcPr>
          <w:p w:rsidR="008D5DE0" w:rsidRPr="001B2128" w:rsidRDefault="008D5DE0" w:rsidP="00DC70A3">
            <w:pPr>
              <w:pStyle w:val="ListParagraph"/>
              <w:ind w:left="0"/>
              <w:jc w:val="both"/>
              <w:rPr>
                <w:rFonts w:ascii="Arial" w:hAnsi="Arial" w:cs="Arial"/>
                <w:lang w:val="sr-Latn-ME"/>
              </w:rPr>
            </w:pPr>
          </w:p>
        </w:tc>
        <w:tc>
          <w:tcPr>
            <w:tcW w:w="709" w:type="dxa"/>
            <w:shd w:val="clear" w:color="auto" w:fill="FFFFFF" w:themeFill="background1"/>
          </w:tcPr>
          <w:p w:rsidR="008D5DE0" w:rsidRPr="001B2128" w:rsidRDefault="008D5DE0" w:rsidP="00DC70A3">
            <w:pPr>
              <w:pStyle w:val="ListParagraph"/>
              <w:ind w:left="0"/>
              <w:jc w:val="both"/>
              <w:rPr>
                <w:rFonts w:ascii="Arial" w:hAnsi="Arial" w:cs="Arial"/>
                <w:lang w:val="sr-Latn-ME"/>
              </w:rPr>
            </w:pPr>
            <w:r w:rsidRPr="001B2128">
              <w:rPr>
                <w:rFonts w:ascii="Arial" w:hAnsi="Arial" w:cs="Arial"/>
                <w:lang w:val="sr-Latn-ME"/>
              </w:rPr>
              <w:t>1</w:t>
            </w:r>
          </w:p>
        </w:tc>
        <w:tc>
          <w:tcPr>
            <w:tcW w:w="709" w:type="dxa"/>
            <w:shd w:val="clear" w:color="auto" w:fill="FFCCCC"/>
          </w:tcPr>
          <w:p w:rsidR="008D5DE0" w:rsidRPr="001B2128" w:rsidRDefault="008D5DE0" w:rsidP="00DC70A3">
            <w:pPr>
              <w:pStyle w:val="ListParagraph"/>
              <w:ind w:left="0"/>
              <w:jc w:val="both"/>
              <w:rPr>
                <w:rFonts w:ascii="Arial" w:hAnsi="Arial" w:cs="Arial"/>
                <w:lang w:val="sr-Latn-ME"/>
              </w:rPr>
            </w:pPr>
            <w:r w:rsidRPr="001B2128">
              <w:rPr>
                <w:rFonts w:ascii="Arial" w:hAnsi="Arial" w:cs="Arial"/>
                <w:lang w:val="sr-Latn-ME"/>
              </w:rPr>
              <w:t>1</w:t>
            </w:r>
          </w:p>
        </w:tc>
        <w:tc>
          <w:tcPr>
            <w:tcW w:w="708" w:type="dxa"/>
            <w:shd w:val="clear" w:color="auto" w:fill="FFCCCC"/>
          </w:tcPr>
          <w:p w:rsidR="008D5DE0" w:rsidRPr="001B2128" w:rsidRDefault="008D5DE0" w:rsidP="00DC70A3">
            <w:pPr>
              <w:pStyle w:val="ListParagraph"/>
              <w:ind w:left="0"/>
              <w:jc w:val="both"/>
              <w:rPr>
                <w:rFonts w:ascii="Arial" w:hAnsi="Arial" w:cs="Arial"/>
                <w:lang w:val="sr-Latn-ME"/>
              </w:rPr>
            </w:pPr>
            <w:r w:rsidRPr="001B2128">
              <w:rPr>
                <w:rFonts w:ascii="Arial" w:hAnsi="Arial" w:cs="Arial"/>
                <w:lang w:val="sr-Latn-ME"/>
              </w:rPr>
              <w:t>2</w:t>
            </w:r>
          </w:p>
        </w:tc>
        <w:tc>
          <w:tcPr>
            <w:tcW w:w="709" w:type="dxa"/>
            <w:shd w:val="clear" w:color="auto" w:fill="FFCCCC"/>
          </w:tcPr>
          <w:p w:rsidR="008D5DE0" w:rsidRPr="001B2128" w:rsidRDefault="008D5DE0" w:rsidP="00DC70A3">
            <w:pPr>
              <w:pStyle w:val="ListParagraph"/>
              <w:ind w:left="0"/>
              <w:jc w:val="both"/>
              <w:rPr>
                <w:rFonts w:ascii="Arial" w:hAnsi="Arial" w:cs="Arial"/>
                <w:lang w:val="sr-Latn-ME"/>
              </w:rPr>
            </w:pPr>
            <w:r w:rsidRPr="001B2128">
              <w:rPr>
                <w:rFonts w:ascii="Arial" w:hAnsi="Arial" w:cs="Arial"/>
                <w:lang w:val="sr-Latn-ME"/>
              </w:rPr>
              <w:t>3</w:t>
            </w:r>
          </w:p>
        </w:tc>
        <w:tc>
          <w:tcPr>
            <w:tcW w:w="567" w:type="dxa"/>
            <w:shd w:val="clear" w:color="auto" w:fill="FFCCCC"/>
          </w:tcPr>
          <w:p w:rsidR="008D5DE0" w:rsidRPr="001B2128" w:rsidRDefault="008D5DE0" w:rsidP="00DC70A3">
            <w:pPr>
              <w:pStyle w:val="ListParagraph"/>
              <w:ind w:left="0"/>
              <w:jc w:val="both"/>
              <w:rPr>
                <w:rFonts w:ascii="Arial" w:hAnsi="Arial" w:cs="Arial"/>
                <w:lang w:val="sr-Latn-ME"/>
              </w:rPr>
            </w:pPr>
            <w:r w:rsidRPr="001B2128">
              <w:rPr>
                <w:rFonts w:ascii="Arial" w:hAnsi="Arial" w:cs="Arial"/>
                <w:lang w:val="sr-Latn-ME"/>
              </w:rPr>
              <w:t>4</w:t>
            </w:r>
          </w:p>
        </w:tc>
        <w:tc>
          <w:tcPr>
            <w:tcW w:w="709" w:type="dxa"/>
            <w:shd w:val="clear" w:color="auto" w:fill="FFCCCC"/>
          </w:tcPr>
          <w:p w:rsidR="008D5DE0" w:rsidRPr="001B2128" w:rsidRDefault="008D5DE0" w:rsidP="00DC70A3">
            <w:pPr>
              <w:pStyle w:val="ListParagraph"/>
              <w:ind w:left="0"/>
              <w:jc w:val="both"/>
              <w:rPr>
                <w:rFonts w:ascii="Arial" w:hAnsi="Arial" w:cs="Arial"/>
                <w:lang w:val="sr-Latn-ME"/>
              </w:rPr>
            </w:pPr>
            <w:r w:rsidRPr="001B2128">
              <w:rPr>
                <w:rFonts w:ascii="Arial" w:hAnsi="Arial" w:cs="Arial"/>
                <w:lang w:val="sr-Latn-ME"/>
              </w:rPr>
              <w:t>5</w:t>
            </w:r>
          </w:p>
        </w:tc>
      </w:tr>
      <w:tr w:rsidR="008D5DE0" w:rsidRPr="001B2128" w:rsidTr="00DC70A3">
        <w:trPr>
          <w:trHeight w:val="669"/>
        </w:trPr>
        <w:tc>
          <w:tcPr>
            <w:tcW w:w="959" w:type="dxa"/>
            <w:vMerge/>
            <w:tcBorders>
              <w:left w:val="nil"/>
              <w:bottom w:val="nil"/>
            </w:tcBorders>
          </w:tcPr>
          <w:p w:rsidR="008D5DE0" w:rsidRPr="001B2128" w:rsidRDefault="008D5DE0" w:rsidP="00DC70A3">
            <w:pPr>
              <w:pStyle w:val="ListParagraph"/>
              <w:ind w:left="0"/>
              <w:jc w:val="both"/>
              <w:rPr>
                <w:rFonts w:ascii="Arial" w:hAnsi="Arial" w:cs="Arial"/>
                <w:lang w:val="sr-Latn-ME"/>
              </w:rPr>
            </w:pPr>
          </w:p>
        </w:tc>
        <w:tc>
          <w:tcPr>
            <w:tcW w:w="567" w:type="dxa"/>
            <w:vMerge/>
            <w:shd w:val="clear" w:color="auto" w:fill="7030A0"/>
          </w:tcPr>
          <w:p w:rsidR="008D5DE0" w:rsidRPr="001B2128" w:rsidRDefault="008D5DE0" w:rsidP="00DC70A3">
            <w:pPr>
              <w:pStyle w:val="ListParagraph"/>
              <w:ind w:left="0"/>
              <w:jc w:val="both"/>
              <w:rPr>
                <w:rFonts w:ascii="Arial" w:hAnsi="Arial" w:cs="Arial"/>
                <w:lang w:val="sr-Latn-ME"/>
              </w:rPr>
            </w:pPr>
          </w:p>
        </w:tc>
        <w:tc>
          <w:tcPr>
            <w:tcW w:w="709" w:type="dxa"/>
            <w:shd w:val="clear" w:color="auto" w:fill="FFFFFF" w:themeFill="background1"/>
          </w:tcPr>
          <w:p w:rsidR="008D5DE0" w:rsidRPr="001B2128" w:rsidRDefault="008D5DE0" w:rsidP="00DC70A3">
            <w:pPr>
              <w:pStyle w:val="ListParagraph"/>
              <w:keepNext/>
              <w:keepLines/>
              <w:spacing w:before="200"/>
              <w:ind w:left="0"/>
              <w:jc w:val="both"/>
              <w:outlineLvl w:val="2"/>
              <w:rPr>
                <w:rFonts w:ascii="Arial" w:hAnsi="Arial" w:cs="Arial"/>
                <w:lang w:val="sr-Latn-ME"/>
              </w:rPr>
            </w:pPr>
          </w:p>
        </w:tc>
        <w:tc>
          <w:tcPr>
            <w:tcW w:w="709" w:type="dxa"/>
            <w:shd w:val="clear" w:color="auto" w:fill="FFFFFF" w:themeFill="background1"/>
          </w:tcPr>
          <w:p w:rsidR="008D5DE0" w:rsidRPr="001B2128" w:rsidRDefault="008D5DE0" w:rsidP="00DC70A3">
            <w:pPr>
              <w:pStyle w:val="ListParagraph"/>
              <w:ind w:left="0"/>
              <w:jc w:val="both"/>
              <w:rPr>
                <w:rFonts w:ascii="Arial" w:hAnsi="Arial" w:cs="Arial"/>
                <w:lang w:val="sr-Latn-ME"/>
              </w:rPr>
            </w:pPr>
            <w:r w:rsidRPr="001B2128">
              <w:rPr>
                <w:rFonts w:ascii="Arial" w:hAnsi="Arial" w:cs="Arial"/>
                <w:lang w:val="sr-Latn-ME"/>
              </w:rPr>
              <w:t>1</w:t>
            </w:r>
          </w:p>
        </w:tc>
        <w:tc>
          <w:tcPr>
            <w:tcW w:w="708" w:type="dxa"/>
            <w:shd w:val="clear" w:color="auto" w:fill="FFFFFF" w:themeFill="background1"/>
          </w:tcPr>
          <w:p w:rsidR="008D5DE0" w:rsidRPr="001B2128" w:rsidRDefault="008D5DE0" w:rsidP="00DC70A3">
            <w:pPr>
              <w:pStyle w:val="ListParagraph"/>
              <w:ind w:left="0"/>
              <w:jc w:val="both"/>
              <w:rPr>
                <w:rFonts w:ascii="Arial" w:hAnsi="Arial" w:cs="Arial"/>
                <w:lang w:val="sr-Latn-ME"/>
              </w:rPr>
            </w:pPr>
            <w:r w:rsidRPr="001B2128">
              <w:rPr>
                <w:rFonts w:ascii="Arial" w:hAnsi="Arial" w:cs="Arial"/>
                <w:lang w:val="sr-Latn-ME"/>
              </w:rPr>
              <w:t>2</w:t>
            </w:r>
          </w:p>
        </w:tc>
        <w:tc>
          <w:tcPr>
            <w:tcW w:w="709" w:type="dxa"/>
            <w:shd w:val="clear" w:color="auto" w:fill="FFFFFF" w:themeFill="background1"/>
          </w:tcPr>
          <w:p w:rsidR="008D5DE0" w:rsidRPr="001B2128" w:rsidRDefault="008D5DE0" w:rsidP="00DC70A3">
            <w:pPr>
              <w:pStyle w:val="ListParagraph"/>
              <w:ind w:left="0"/>
              <w:jc w:val="both"/>
              <w:rPr>
                <w:rFonts w:ascii="Arial" w:hAnsi="Arial" w:cs="Arial"/>
                <w:lang w:val="sr-Latn-ME"/>
              </w:rPr>
            </w:pPr>
            <w:r w:rsidRPr="001B2128">
              <w:rPr>
                <w:rFonts w:ascii="Arial" w:hAnsi="Arial" w:cs="Arial"/>
                <w:lang w:val="sr-Latn-ME"/>
              </w:rPr>
              <w:t>3</w:t>
            </w:r>
          </w:p>
        </w:tc>
        <w:tc>
          <w:tcPr>
            <w:tcW w:w="567" w:type="dxa"/>
            <w:shd w:val="clear" w:color="auto" w:fill="FFFFFF" w:themeFill="background1"/>
          </w:tcPr>
          <w:p w:rsidR="008D5DE0" w:rsidRPr="001B2128" w:rsidRDefault="008D5DE0" w:rsidP="00DC70A3">
            <w:pPr>
              <w:pStyle w:val="ListParagraph"/>
              <w:ind w:left="0"/>
              <w:jc w:val="both"/>
              <w:rPr>
                <w:rFonts w:ascii="Arial" w:hAnsi="Arial" w:cs="Arial"/>
                <w:lang w:val="sr-Latn-ME"/>
              </w:rPr>
            </w:pPr>
            <w:r w:rsidRPr="001B2128">
              <w:rPr>
                <w:rFonts w:ascii="Arial" w:hAnsi="Arial" w:cs="Arial"/>
                <w:lang w:val="sr-Latn-ME"/>
              </w:rPr>
              <w:t>4</w:t>
            </w:r>
          </w:p>
        </w:tc>
        <w:tc>
          <w:tcPr>
            <w:tcW w:w="709" w:type="dxa"/>
            <w:shd w:val="clear" w:color="auto" w:fill="FFFFFF" w:themeFill="background1"/>
          </w:tcPr>
          <w:p w:rsidR="008D5DE0" w:rsidRPr="001B2128" w:rsidRDefault="008D5DE0" w:rsidP="00DC70A3">
            <w:pPr>
              <w:pStyle w:val="ListParagraph"/>
              <w:ind w:left="0"/>
              <w:jc w:val="both"/>
              <w:rPr>
                <w:rFonts w:ascii="Arial" w:hAnsi="Arial" w:cs="Arial"/>
                <w:lang w:val="sr-Latn-ME"/>
              </w:rPr>
            </w:pPr>
            <w:r w:rsidRPr="001B2128">
              <w:rPr>
                <w:rFonts w:ascii="Arial" w:hAnsi="Arial" w:cs="Arial"/>
                <w:lang w:val="sr-Latn-ME"/>
              </w:rPr>
              <w:t>5</w:t>
            </w:r>
          </w:p>
        </w:tc>
      </w:tr>
      <w:tr w:rsidR="008D5DE0" w:rsidRPr="001B2128" w:rsidTr="006F67D5">
        <w:trPr>
          <w:trHeight w:val="483"/>
        </w:trPr>
        <w:tc>
          <w:tcPr>
            <w:tcW w:w="1526" w:type="dxa"/>
            <w:gridSpan w:val="2"/>
            <w:tcBorders>
              <w:top w:val="nil"/>
              <w:left w:val="nil"/>
              <w:bottom w:val="nil"/>
              <w:right w:val="single" w:sz="4" w:space="0" w:color="auto"/>
            </w:tcBorders>
          </w:tcPr>
          <w:p w:rsidR="008D5DE0" w:rsidRPr="001B2128" w:rsidRDefault="008D5DE0" w:rsidP="00DC70A3">
            <w:pPr>
              <w:pStyle w:val="ListParagraph"/>
              <w:ind w:left="0"/>
              <w:jc w:val="both"/>
              <w:rPr>
                <w:rFonts w:ascii="Arial" w:hAnsi="Arial" w:cs="Arial"/>
                <w:lang w:val="sr-Latn-ME"/>
              </w:rPr>
            </w:pPr>
          </w:p>
        </w:tc>
        <w:tc>
          <w:tcPr>
            <w:tcW w:w="4111" w:type="dxa"/>
            <w:gridSpan w:val="6"/>
            <w:tcBorders>
              <w:top w:val="nil"/>
              <w:left w:val="single" w:sz="4" w:space="0" w:color="auto"/>
              <w:bottom w:val="nil"/>
            </w:tcBorders>
            <w:shd w:val="clear" w:color="auto" w:fill="7030A0"/>
            <w:vAlign w:val="center"/>
          </w:tcPr>
          <w:p w:rsidR="008D5DE0" w:rsidRPr="001B2128" w:rsidRDefault="008D5DE0" w:rsidP="00DC70A3">
            <w:pPr>
              <w:pStyle w:val="ListParagraph"/>
              <w:shd w:val="clear" w:color="auto" w:fill="7030A0"/>
              <w:ind w:left="0"/>
              <w:jc w:val="center"/>
              <w:rPr>
                <w:rFonts w:ascii="Arial" w:hAnsi="Arial" w:cs="Arial"/>
                <w:lang w:val="sr-Latn-ME"/>
              </w:rPr>
            </w:pPr>
            <w:r w:rsidRPr="001B2128">
              <w:rPr>
                <w:rFonts w:ascii="Arial" w:hAnsi="Arial" w:cs="Arial"/>
                <w:b/>
                <w:lang w:val="sr-Latn-ME"/>
              </w:rPr>
              <w:t>V J E R O V A T N O Ć A</w:t>
            </w:r>
          </w:p>
        </w:tc>
      </w:tr>
      <w:tr w:rsidR="006F67D5" w:rsidRPr="001B2128" w:rsidTr="00DC70A3">
        <w:trPr>
          <w:trHeight w:val="483"/>
        </w:trPr>
        <w:tc>
          <w:tcPr>
            <w:tcW w:w="1526" w:type="dxa"/>
            <w:gridSpan w:val="2"/>
            <w:tcBorders>
              <w:top w:val="nil"/>
              <w:left w:val="nil"/>
              <w:bottom w:val="nil"/>
              <w:right w:val="single" w:sz="4" w:space="0" w:color="auto"/>
            </w:tcBorders>
          </w:tcPr>
          <w:p w:rsidR="006F67D5" w:rsidRPr="001B2128" w:rsidRDefault="006F67D5" w:rsidP="00DC70A3">
            <w:pPr>
              <w:pStyle w:val="ListParagraph"/>
              <w:ind w:left="0"/>
              <w:jc w:val="both"/>
              <w:rPr>
                <w:rFonts w:ascii="Arial" w:hAnsi="Arial" w:cs="Arial"/>
                <w:lang w:val="sr-Latn-ME"/>
              </w:rPr>
            </w:pPr>
          </w:p>
        </w:tc>
        <w:tc>
          <w:tcPr>
            <w:tcW w:w="4111" w:type="dxa"/>
            <w:gridSpan w:val="6"/>
            <w:tcBorders>
              <w:top w:val="nil"/>
              <w:left w:val="single" w:sz="4" w:space="0" w:color="auto"/>
            </w:tcBorders>
            <w:shd w:val="clear" w:color="auto" w:fill="7030A0"/>
            <w:vAlign w:val="center"/>
          </w:tcPr>
          <w:p w:rsidR="006F67D5" w:rsidRPr="001B2128" w:rsidRDefault="006F67D5" w:rsidP="00DC70A3">
            <w:pPr>
              <w:pStyle w:val="ListParagraph"/>
              <w:shd w:val="clear" w:color="auto" w:fill="7030A0"/>
              <w:ind w:left="0"/>
              <w:jc w:val="center"/>
              <w:rPr>
                <w:rFonts w:ascii="Arial" w:hAnsi="Arial" w:cs="Arial"/>
                <w:b/>
                <w:lang w:val="sr-Latn-ME"/>
              </w:rPr>
            </w:pPr>
          </w:p>
        </w:tc>
      </w:tr>
    </w:tbl>
    <w:p w:rsidR="008D5DE0" w:rsidRPr="001B2128" w:rsidRDefault="008D5DE0" w:rsidP="008D5DE0">
      <w:pPr>
        <w:tabs>
          <w:tab w:val="left" w:pos="709"/>
        </w:tabs>
        <w:jc w:val="both"/>
        <w:rPr>
          <w:rFonts w:ascii="Arial" w:hAnsi="Arial" w:cs="Arial"/>
          <w:lang w:val="sr-Latn-ME"/>
        </w:rPr>
      </w:pPr>
      <w:r w:rsidRPr="001B2128">
        <w:rPr>
          <w:rFonts w:ascii="Arial" w:hAnsi="Arial" w:cs="Arial"/>
          <w:lang w:val="sr-Latn-ME"/>
        </w:rPr>
        <w:t xml:space="preserve">Rezultati iz matrice rizika ukazuju na oblasti koje se smatraju visokim, srednjim iili malim rizikom. Rangiranje rizika je osnova za određivanje prioriteta i prikazuje izloženost Zavoda rizicima. </w:t>
      </w:r>
    </w:p>
    <w:tbl>
      <w:tblPr>
        <w:tblStyle w:val="TableGrid"/>
        <w:tblW w:w="0" w:type="auto"/>
        <w:tblInd w:w="108" w:type="dxa"/>
        <w:tblLook w:val="04A0" w:firstRow="1" w:lastRow="0" w:firstColumn="1" w:lastColumn="0" w:noHBand="0" w:noVBand="1"/>
      </w:tblPr>
      <w:tblGrid>
        <w:gridCol w:w="1048"/>
        <w:gridCol w:w="1403"/>
        <w:gridCol w:w="6702"/>
      </w:tblGrid>
      <w:tr w:rsidR="008D5DE0" w:rsidRPr="001B2128" w:rsidTr="00DC70A3">
        <w:trPr>
          <w:trHeight w:val="702"/>
        </w:trPr>
        <w:tc>
          <w:tcPr>
            <w:tcW w:w="1029" w:type="dxa"/>
            <w:shd w:val="clear" w:color="auto" w:fill="FFFFFF" w:themeFill="background1"/>
            <w:vAlign w:val="center"/>
          </w:tcPr>
          <w:p w:rsidR="008D5DE0" w:rsidRPr="001B2128" w:rsidRDefault="008D5DE0" w:rsidP="00DC70A3">
            <w:pPr>
              <w:jc w:val="center"/>
              <w:rPr>
                <w:rFonts w:ascii="Arial" w:hAnsi="Arial" w:cs="Arial"/>
                <w:b/>
                <w:lang w:val="sr-Latn-ME"/>
              </w:rPr>
            </w:pPr>
            <w:r w:rsidRPr="001B2128">
              <w:rPr>
                <w:rFonts w:ascii="Arial" w:hAnsi="Arial" w:cs="Arial"/>
                <w:b/>
                <w:lang w:val="sr-Latn-ME"/>
              </w:rPr>
              <w:t>INDEKS RIZIKA</w:t>
            </w:r>
          </w:p>
        </w:tc>
        <w:tc>
          <w:tcPr>
            <w:tcW w:w="1403" w:type="dxa"/>
            <w:shd w:val="clear" w:color="auto" w:fill="FFFFFF" w:themeFill="background1"/>
            <w:vAlign w:val="center"/>
          </w:tcPr>
          <w:p w:rsidR="008D5DE0" w:rsidRPr="001B2128" w:rsidRDefault="008D5DE0" w:rsidP="00DC70A3">
            <w:pPr>
              <w:jc w:val="center"/>
              <w:rPr>
                <w:rFonts w:ascii="Arial" w:hAnsi="Arial" w:cs="Arial"/>
                <w:b/>
                <w:lang w:val="sr-Latn-ME"/>
              </w:rPr>
            </w:pPr>
            <w:r w:rsidRPr="001B2128">
              <w:rPr>
                <w:rFonts w:ascii="Arial" w:hAnsi="Arial" w:cs="Arial"/>
                <w:b/>
                <w:lang w:val="sr-Latn-ME"/>
              </w:rPr>
              <w:t>RANG RIZIKA</w:t>
            </w:r>
          </w:p>
        </w:tc>
        <w:tc>
          <w:tcPr>
            <w:tcW w:w="6702" w:type="dxa"/>
            <w:shd w:val="clear" w:color="auto" w:fill="FFFFFF" w:themeFill="background1"/>
            <w:vAlign w:val="center"/>
          </w:tcPr>
          <w:p w:rsidR="008D5DE0" w:rsidRPr="001B2128" w:rsidRDefault="008D5DE0" w:rsidP="00DC70A3">
            <w:pPr>
              <w:jc w:val="center"/>
              <w:rPr>
                <w:rFonts w:ascii="Arial" w:hAnsi="Arial" w:cs="Arial"/>
                <w:b/>
                <w:lang w:val="sr-Latn-ME"/>
              </w:rPr>
            </w:pPr>
            <w:r w:rsidRPr="001B2128">
              <w:rPr>
                <w:rFonts w:ascii="Arial" w:hAnsi="Arial" w:cs="Arial"/>
                <w:b/>
                <w:lang w:val="sr-Latn-ME"/>
              </w:rPr>
              <w:t>OPIS RIZIKA (PRIMJERI)</w:t>
            </w:r>
          </w:p>
        </w:tc>
      </w:tr>
      <w:tr w:rsidR="008D5DE0" w:rsidRPr="001B2128" w:rsidTr="00DC70A3">
        <w:tc>
          <w:tcPr>
            <w:tcW w:w="1029" w:type="dxa"/>
            <w:vAlign w:val="center"/>
          </w:tcPr>
          <w:p w:rsidR="008D5DE0" w:rsidRPr="001B2128" w:rsidRDefault="008D5DE0" w:rsidP="00DC70A3">
            <w:pPr>
              <w:jc w:val="center"/>
              <w:rPr>
                <w:rFonts w:ascii="Arial" w:hAnsi="Arial" w:cs="Arial"/>
                <w:lang w:val="sr-Latn-ME"/>
              </w:rPr>
            </w:pPr>
            <w:r w:rsidRPr="001B2128">
              <w:rPr>
                <w:rFonts w:ascii="Arial" w:hAnsi="Arial" w:cs="Arial"/>
                <w:lang w:val="sr-Latn-ME"/>
              </w:rPr>
              <w:t>15-25</w:t>
            </w:r>
          </w:p>
        </w:tc>
        <w:tc>
          <w:tcPr>
            <w:tcW w:w="1403" w:type="dxa"/>
            <w:shd w:val="clear" w:color="auto" w:fill="FF0000"/>
            <w:vAlign w:val="center"/>
          </w:tcPr>
          <w:p w:rsidR="008D5DE0" w:rsidRPr="001B2128" w:rsidRDefault="008D5DE0" w:rsidP="00DC70A3">
            <w:pPr>
              <w:jc w:val="center"/>
              <w:rPr>
                <w:rFonts w:ascii="Arial" w:hAnsi="Arial" w:cs="Arial"/>
                <w:b/>
                <w:lang w:val="sr-Latn-ME"/>
              </w:rPr>
            </w:pPr>
            <w:r w:rsidRPr="001B2128">
              <w:rPr>
                <w:rFonts w:ascii="Arial" w:hAnsi="Arial" w:cs="Arial"/>
                <w:b/>
                <w:lang w:val="sr-Latn-ME"/>
              </w:rPr>
              <w:t>Visok</w:t>
            </w:r>
          </w:p>
        </w:tc>
        <w:tc>
          <w:tcPr>
            <w:tcW w:w="6702" w:type="dxa"/>
          </w:tcPr>
          <w:p w:rsidR="008D5DE0" w:rsidRPr="001B2128" w:rsidRDefault="008D5DE0" w:rsidP="00DC70A3">
            <w:pPr>
              <w:jc w:val="both"/>
              <w:rPr>
                <w:rFonts w:ascii="Arial" w:hAnsi="Arial" w:cs="Arial"/>
                <w:lang w:val="sr-Latn-ME"/>
              </w:rPr>
            </w:pPr>
            <w:r w:rsidRPr="001B2128">
              <w:rPr>
                <w:rFonts w:ascii="Arial" w:hAnsi="Arial" w:cs="Arial"/>
                <w:lang w:val="sr-Latn-ME"/>
              </w:rPr>
              <w:t>- Prekid svih osnovnih programa/usluga</w:t>
            </w:r>
          </w:p>
          <w:p w:rsidR="008D5DE0" w:rsidRPr="001B2128" w:rsidRDefault="008D5DE0" w:rsidP="00DC70A3">
            <w:pPr>
              <w:jc w:val="both"/>
              <w:rPr>
                <w:rFonts w:ascii="Arial" w:hAnsi="Arial" w:cs="Arial"/>
                <w:lang w:val="sr-Latn-ME"/>
              </w:rPr>
            </w:pPr>
            <w:r w:rsidRPr="001B2128">
              <w:rPr>
                <w:rFonts w:ascii="Arial" w:hAnsi="Arial" w:cs="Arial"/>
                <w:lang w:val="sr-Latn-ME"/>
              </w:rPr>
              <w:t>- Gubitak imovine velike vrijednosti</w:t>
            </w:r>
          </w:p>
          <w:p w:rsidR="008D5DE0" w:rsidRPr="001B2128" w:rsidRDefault="008D5DE0" w:rsidP="00DC70A3">
            <w:pPr>
              <w:jc w:val="both"/>
              <w:rPr>
                <w:rFonts w:ascii="Arial" w:hAnsi="Arial" w:cs="Arial"/>
                <w:lang w:val="sr-Latn-ME"/>
              </w:rPr>
            </w:pPr>
            <w:r w:rsidRPr="001B2128">
              <w:rPr>
                <w:rFonts w:ascii="Arial" w:hAnsi="Arial" w:cs="Arial"/>
                <w:lang w:val="sr-Latn-ME"/>
              </w:rPr>
              <w:t>- Ozbiljne štete za životnu sredinu</w:t>
            </w:r>
          </w:p>
          <w:p w:rsidR="008D5DE0" w:rsidRPr="001B2128" w:rsidRDefault="008D5DE0" w:rsidP="00DC70A3">
            <w:pPr>
              <w:jc w:val="both"/>
              <w:rPr>
                <w:rFonts w:ascii="Arial" w:hAnsi="Arial" w:cs="Arial"/>
                <w:lang w:val="sr-Latn-ME"/>
              </w:rPr>
            </w:pPr>
            <w:r w:rsidRPr="001B2128">
              <w:rPr>
                <w:rFonts w:ascii="Arial" w:hAnsi="Arial" w:cs="Arial"/>
                <w:lang w:val="sr-Latn-ME"/>
              </w:rPr>
              <w:t>- Značajan gubitak povjerenja javnosti</w:t>
            </w:r>
          </w:p>
          <w:p w:rsidR="008D5DE0" w:rsidRPr="001B2128" w:rsidRDefault="008D5DE0" w:rsidP="00DC70A3">
            <w:pPr>
              <w:jc w:val="both"/>
              <w:rPr>
                <w:rFonts w:ascii="Arial" w:hAnsi="Arial" w:cs="Arial"/>
                <w:lang w:val="sr-Latn-ME"/>
              </w:rPr>
            </w:pPr>
            <w:r w:rsidRPr="001B2128">
              <w:rPr>
                <w:rFonts w:ascii="Arial" w:hAnsi="Arial" w:cs="Arial"/>
                <w:lang w:val="sr-Latn-ME"/>
              </w:rPr>
              <w:t>- Pritisak javnosti za smjenu rukovodstva</w:t>
            </w:r>
          </w:p>
        </w:tc>
      </w:tr>
      <w:tr w:rsidR="008D5DE0" w:rsidRPr="001B2128" w:rsidTr="00DC70A3">
        <w:tc>
          <w:tcPr>
            <w:tcW w:w="1029" w:type="dxa"/>
            <w:vAlign w:val="center"/>
          </w:tcPr>
          <w:p w:rsidR="008D5DE0" w:rsidRPr="001B2128" w:rsidRDefault="008D5DE0" w:rsidP="00DC70A3">
            <w:pPr>
              <w:jc w:val="center"/>
              <w:rPr>
                <w:rFonts w:ascii="Arial" w:hAnsi="Arial" w:cs="Arial"/>
                <w:lang w:val="sr-Latn-ME"/>
              </w:rPr>
            </w:pPr>
            <w:r w:rsidRPr="001B2128">
              <w:rPr>
                <w:rFonts w:ascii="Arial" w:hAnsi="Arial" w:cs="Arial"/>
                <w:lang w:val="sr-Latn-ME"/>
              </w:rPr>
              <w:t>6-12</w:t>
            </w:r>
          </w:p>
        </w:tc>
        <w:tc>
          <w:tcPr>
            <w:tcW w:w="1403" w:type="dxa"/>
            <w:shd w:val="clear" w:color="auto" w:fill="9999FF"/>
            <w:vAlign w:val="center"/>
          </w:tcPr>
          <w:p w:rsidR="008D5DE0" w:rsidRPr="001B2128" w:rsidRDefault="008D5DE0" w:rsidP="00DC70A3">
            <w:pPr>
              <w:jc w:val="center"/>
              <w:rPr>
                <w:rFonts w:ascii="Arial" w:hAnsi="Arial" w:cs="Arial"/>
                <w:b/>
                <w:lang w:val="sr-Latn-ME"/>
              </w:rPr>
            </w:pPr>
            <w:r w:rsidRPr="001B2128">
              <w:rPr>
                <w:rFonts w:ascii="Arial" w:hAnsi="Arial" w:cs="Arial"/>
                <w:b/>
                <w:lang w:val="sr-Latn-ME"/>
              </w:rPr>
              <w:t xml:space="preserve">Srednji </w:t>
            </w:r>
          </w:p>
        </w:tc>
        <w:tc>
          <w:tcPr>
            <w:tcW w:w="6702" w:type="dxa"/>
          </w:tcPr>
          <w:p w:rsidR="008D5DE0" w:rsidRPr="001B2128" w:rsidRDefault="008D5DE0" w:rsidP="00DC70A3">
            <w:pPr>
              <w:jc w:val="both"/>
              <w:rPr>
                <w:rFonts w:ascii="Arial" w:hAnsi="Arial" w:cs="Arial"/>
                <w:lang w:val="sr-Latn-ME"/>
              </w:rPr>
            </w:pPr>
            <w:r w:rsidRPr="001B2128">
              <w:rPr>
                <w:rFonts w:ascii="Arial" w:hAnsi="Arial" w:cs="Arial"/>
                <w:lang w:val="sr-Latn-ME"/>
              </w:rPr>
              <w:t>- Prekid nekih osnovnih programa/usluga</w:t>
            </w:r>
          </w:p>
          <w:p w:rsidR="008D5DE0" w:rsidRPr="001B2128" w:rsidRDefault="008D5DE0" w:rsidP="00DC70A3">
            <w:pPr>
              <w:jc w:val="both"/>
              <w:rPr>
                <w:rFonts w:ascii="Arial" w:hAnsi="Arial" w:cs="Arial"/>
                <w:lang w:val="sr-Latn-ME"/>
              </w:rPr>
            </w:pPr>
            <w:r w:rsidRPr="001B2128">
              <w:rPr>
                <w:rFonts w:ascii="Arial" w:hAnsi="Arial" w:cs="Arial"/>
                <w:lang w:val="sr-Latn-ME"/>
              </w:rPr>
              <w:t>- Gubitak imovine</w:t>
            </w:r>
          </w:p>
          <w:p w:rsidR="008D5DE0" w:rsidRPr="001B2128" w:rsidRDefault="008D5DE0" w:rsidP="00DC70A3">
            <w:pPr>
              <w:jc w:val="both"/>
              <w:rPr>
                <w:rFonts w:ascii="Arial" w:hAnsi="Arial" w:cs="Arial"/>
                <w:lang w:val="sr-Latn-ME"/>
              </w:rPr>
            </w:pPr>
            <w:r w:rsidRPr="001B2128">
              <w:rPr>
                <w:rFonts w:ascii="Arial" w:hAnsi="Arial" w:cs="Arial"/>
                <w:lang w:val="sr-Latn-ME"/>
              </w:rPr>
              <w:t>- Štetne posljedice na životnu sredinu</w:t>
            </w:r>
          </w:p>
          <w:p w:rsidR="008D5DE0" w:rsidRPr="001B2128" w:rsidRDefault="008D5DE0" w:rsidP="00DC70A3">
            <w:pPr>
              <w:jc w:val="both"/>
              <w:rPr>
                <w:rFonts w:ascii="Arial" w:hAnsi="Arial" w:cs="Arial"/>
                <w:lang w:val="sr-Latn-ME"/>
              </w:rPr>
            </w:pPr>
            <w:r w:rsidRPr="001B2128">
              <w:rPr>
                <w:rFonts w:ascii="Arial" w:hAnsi="Arial" w:cs="Arial"/>
                <w:lang w:val="sr-Latn-ME"/>
              </w:rPr>
              <w:t xml:space="preserve">- Djelimičan gubitak povjerenja javnosti </w:t>
            </w:r>
          </w:p>
          <w:p w:rsidR="008D5DE0" w:rsidRPr="001B2128" w:rsidRDefault="008D5DE0" w:rsidP="00DC70A3">
            <w:pPr>
              <w:jc w:val="both"/>
              <w:rPr>
                <w:rFonts w:ascii="Arial" w:hAnsi="Arial" w:cs="Arial"/>
                <w:lang w:val="sr-Latn-ME"/>
              </w:rPr>
            </w:pPr>
            <w:r w:rsidRPr="001B2128">
              <w:rPr>
                <w:rFonts w:ascii="Arial" w:hAnsi="Arial" w:cs="Arial"/>
                <w:lang w:val="sr-Latn-ME"/>
              </w:rPr>
              <w:t>- Negativan stav javnosti u medijima</w:t>
            </w:r>
          </w:p>
        </w:tc>
      </w:tr>
      <w:tr w:rsidR="008D5DE0" w:rsidRPr="001B2128" w:rsidTr="00DC70A3">
        <w:tc>
          <w:tcPr>
            <w:tcW w:w="1029" w:type="dxa"/>
            <w:vAlign w:val="center"/>
          </w:tcPr>
          <w:p w:rsidR="008D5DE0" w:rsidRPr="001B2128" w:rsidRDefault="008D5DE0" w:rsidP="00DC70A3">
            <w:pPr>
              <w:jc w:val="center"/>
              <w:rPr>
                <w:rFonts w:ascii="Arial" w:hAnsi="Arial" w:cs="Arial"/>
                <w:lang w:val="sr-Latn-ME"/>
              </w:rPr>
            </w:pPr>
            <w:r w:rsidRPr="001B2128">
              <w:rPr>
                <w:rFonts w:ascii="Arial" w:hAnsi="Arial" w:cs="Arial"/>
                <w:lang w:val="sr-Latn-ME"/>
              </w:rPr>
              <w:t>1-5</w:t>
            </w:r>
          </w:p>
        </w:tc>
        <w:tc>
          <w:tcPr>
            <w:tcW w:w="1403" w:type="dxa"/>
            <w:shd w:val="clear" w:color="auto" w:fill="FFCCCC"/>
            <w:vAlign w:val="center"/>
          </w:tcPr>
          <w:p w:rsidR="008D5DE0" w:rsidRPr="001B2128" w:rsidRDefault="008D5DE0" w:rsidP="00DC70A3">
            <w:pPr>
              <w:jc w:val="center"/>
              <w:rPr>
                <w:rFonts w:ascii="Arial" w:hAnsi="Arial" w:cs="Arial"/>
                <w:b/>
                <w:lang w:val="sr-Latn-ME"/>
              </w:rPr>
            </w:pPr>
            <w:r w:rsidRPr="001B2128">
              <w:rPr>
                <w:rFonts w:ascii="Arial" w:hAnsi="Arial" w:cs="Arial"/>
                <w:b/>
                <w:lang w:val="sr-Latn-ME"/>
              </w:rPr>
              <w:t xml:space="preserve">Nizak </w:t>
            </w:r>
          </w:p>
        </w:tc>
        <w:tc>
          <w:tcPr>
            <w:tcW w:w="6702" w:type="dxa"/>
          </w:tcPr>
          <w:p w:rsidR="008D5DE0" w:rsidRPr="001B2128" w:rsidRDefault="008D5DE0" w:rsidP="00DC70A3">
            <w:pPr>
              <w:jc w:val="both"/>
              <w:rPr>
                <w:rFonts w:ascii="Arial" w:hAnsi="Arial" w:cs="Arial"/>
                <w:lang w:val="sr-Latn-ME"/>
              </w:rPr>
            </w:pPr>
            <w:r w:rsidRPr="001B2128">
              <w:rPr>
                <w:rFonts w:ascii="Arial" w:hAnsi="Arial" w:cs="Arial"/>
                <w:lang w:val="sr-Latn-ME"/>
              </w:rPr>
              <w:t>- Kašnjenja u manjim projektima/uslugama</w:t>
            </w:r>
          </w:p>
          <w:p w:rsidR="008D5DE0" w:rsidRPr="001B2128" w:rsidRDefault="008D5DE0" w:rsidP="00DC70A3">
            <w:pPr>
              <w:jc w:val="both"/>
              <w:rPr>
                <w:rFonts w:ascii="Arial" w:hAnsi="Arial" w:cs="Arial"/>
                <w:lang w:val="sr-Latn-ME"/>
              </w:rPr>
            </w:pPr>
            <w:r w:rsidRPr="001B2128">
              <w:rPr>
                <w:rFonts w:ascii="Arial" w:hAnsi="Arial" w:cs="Arial"/>
                <w:lang w:val="sr-Latn-ME"/>
              </w:rPr>
              <w:t>- Gubitak imovine (manje vrijednosti)</w:t>
            </w:r>
          </w:p>
          <w:p w:rsidR="008D5DE0" w:rsidRPr="001B2128" w:rsidRDefault="008D5DE0" w:rsidP="00DC70A3">
            <w:pPr>
              <w:jc w:val="both"/>
              <w:rPr>
                <w:rFonts w:ascii="Arial" w:hAnsi="Arial" w:cs="Arial"/>
                <w:lang w:val="sr-Latn-ME"/>
              </w:rPr>
            </w:pPr>
            <w:r w:rsidRPr="001B2128">
              <w:rPr>
                <w:rFonts w:ascii="Arial" w:hAnsi="Arial" w:cs="Arial"/>
                <w:lang w:val="sr-Latn-ME"/>
              </w:rPr>
              <w:t>- Privremene štetne posljedice na životnu sredinu</w:t>
            </w:r>
          </w:p>
          <w:p w:rsidR="008D5DE0" w:rsidRPr="001B2128" w:rsidRDefault="008D5DE0" w:rsidP="00DC70A3">
            <w:pPr>
              <w:jc w:val="both"/>
              <w:rPr>
                <w:rFonts w:ascii="Arial" w:hAnsi="Arial" w:cs="Arial"/>
                <w:lang w:val="sr-Latn-ME"/>
              </w:rPr>
            </w:pPr>
            <w:r w:rsidRPr="001B2128">
              <w:rPr>
                <w:rFonts w:ascii="Arial" w:hAnsi="Arial" w:cs="Arial"/>
                <w:lang w:val="sr-Latn-ME"/>
              </w:rPr>
              <w:t>- Smanjenje nivoa povjerenja javnosti</w:t>
            </w:r>
          </w:p>
          <w:p w:rsidR="008D5DE0" w:rsidRPr="001B2128" w:rsidRDefault="008D5DE0" w:rsidP="00DC70A3">
            <w:pPr>
              <w:jc w:val="both"/>
              <w:rPr>
                <w:rFonts w:ascii="Arial" w:hAnsi="Arial" w:cs="Arial"/>
                <w:lang w:val="sr-Latn-ME"/>
              </w:rPr>
            </w:pPr>
            <w:r w:rsidRPr="001B2128">
              <w:rPr>
                <w:rFonts w:ascii="Arial" w:hAnsi="Arial" w:cs="Arial"/>
                <w:lang w:val="sr-Latn-ME"/>
              </w:rPr>
              <w:t>- Djelimično negativan stav javnosti u medijima</w:t>
            </w:r>
          </w:p>
        </w:tc>
      </w:tr>
    </w:tbl>
    <w:p w:rsidR="006F67D5" w:rsidRPr="001B2128" w:rsidRDefault="006F67D5" w:rsidP="008D3F3E">
      <w:pPr>
        <w:spacing w:line="240" w:lineRule="atLeast"/>
        <w:ind w:left="-142"/>
        <w:contextualSpacing/>
        <w:jc w:val="both"/>
        <w:rPr>
          <w:rFonts w:ascii="Arial" w:eastAsia="Calibri" w:hAnsi="Arial" w:cs="Arial"/>
          <w:lang w:val="sr-Latn-ME"/>
        </w:rPr>
      </w:pPr>
    </w:p>
    <w:p w:rsidR="004F34AF" w:rsidRPr="001B2128" w:rsidRDefault="008D5DE0" w:rsidP="008D3F3E">
      <w:pPr>
        <w:spacing w:line="240" w:lineRule="atLeast"/>
        <w:ind w:left="-142"/>
        <w:contextualSpacing/>
        <w:jc w:val="both"/>
        <w:rPr>
          <w:rFonts w:ascii="Arial" w:eastAsia="Calibri" w:hAnsi="Arial" w:cs="Arial"/>
          <w:lang w:val="sr-Latn-ME"/>
        </w:rPr>
      </w:pPr>
      <w:r w:rsidRPr="001B2128">
        <w:rPr>
          <w:rFonts w:ascii="Arial" w:eastAsia="Calibri" w:hAnsi="Arial" w:cs="Arial"/>
          <w:lang w:val="sr-Latn-ME"/>
        </w:rPr>
        <w:lastRenderedPageBreak/>
        <w:t>Reagovanje na rizik podrazumijeva  mjere koje će se preduzeti u vezi postupanja po rizicima i prvenstveno zavise od vrste i utvrđenih uzroka rizika. Reagovanje na rizik je razmatranje do koje granice je rizik prihvatljiv, a da ne ometa kontinuirano poslovanje subjekta.</w:t>
      </w:r>
      <w:r w:rsidR="00047655" w:rsidRPr="001B2128">
        <w:rPr>
          <w:rFonts w:ascii="Arial" w:eastAsia="Calibri" w:hAnsi="Arial" w:cs="Arial"/>
          <w:lang w:val="sr-Latn-ME"/>
        </w:rPr>
        <w:t xml:space="preserve"> </w:t>
      </w:r>
      <w:r w:rsidRPr="001B2128">
        <w:rPr>
          <w:rFonts w:ascii="Arial" w:eastAsia="Calibri" w:hAnsi="Arial" w:cs="Arial"/>
          <w:lang w:val="sr-Latn-ME"/>
        </w:rPr>
        <w:t>Svrha reagovanja na rizik</w:t>
      </w:r>
      <w:r w:rsidR="00B24650" w:rsidRPr="001B2128">
        <w:rPr>
          <w:rFonts w:ascii="Arial" w:eastAsia="Calibri" w:hAnsi="Arial" w:cs="Arial"/>
          <w:lang w:val="sr-Latn-ME"/>
        </w:rPr>
        <w:t xml:space="preserve"> </w:t>
      </w:r>
      <w:r w:rsidR="004F34AF" w:rsidRPr="001B2128">
        <w:rPr>
          <w:rFonts w:ascii="Arial" w:eastAsia="Calibri" w:hAnsi="Arial" w:cs="Arial"/>
          <w:lang w:val="sr-Latn-ME"/>
        </w:rPr>
        <w:t>je da se neizvjesnost okrene u korist subjekta, ograničavanjem prijetnji i korišćenjem pruženih prilika.</w:t>
      </w:r>
    </w:p>
    <w:p w:rsidR="008D3F3E" w:rsidRPr="001B2128" w:rsidRDefault="008D3F3E" w:rsidP="008D3F3E">
      <w:pPr>
        <w:spacing w:line="240" w:lineRule="atLeast"/>
        <w:ind w:left="-142"/>
        <w:contextualSpacing/>
        <w:jc w:val="both"/>
        <w:rPr>
          <w:rFonts w:ascii="Arial" w:eastAsia="Calibri" w:hAnsi="Arial" w:cs="Arial"/>
          <w:lang w:val="sr-Latn-ME"/>
        </w:rPr>
      </w:pPr>
      <w:r w:rsidRPr="001B2128">
        <w:rPr>
          <w:rFonts w:ascii="Arial" w:eastAsia="Calibri" w:hAnsi="Arial" w:cs="Arial"/>
          <w:lang w:val="sr-Latn-ME"/>
        </w:rPr>
        <w:t>Odluku o reagovanju na rizik donose rukovodioci.</w:t>
      </w:r>
    </w:p>
    <w:p w:rsidR="004F34AF" w:rsidRPr="001B2128" w:rsidRDefault="004F34AF" w:rsidP="008D3F3E">
      <w:pPr>
        <w:spacing w:line="240" w:lineRule="atLeast"/>
        <w:ind w:left="-142"/>
        <w:contextualSpacing/>
        <w:jc w:val="both"/>
        <w:rPr>
          <w:rFonts w:ascii="Arial" w:eastAsia="Calibri" w:hAnsi="Arial" w:cs="Arial"/>
          <w:lang w:val="sr-Latn-ME"/>
        </w:rPr>
      </w:pPr>
      <w:r w:rsidRPr="001B2128">
        <w:rPr>
          <w:rFonts w:ascii="Arial" w:eastAsia="Calibri" w:hAnsi="Arial" w:cs="Arial"/>
          <w:lang w:val="sr-Latn-ME"/>
        </w:rPr>
        <w:t>Vjerovatnoća i uticaj smanjiće se izborom odgovarajućeg načina postupanja po rizicima. S tim u vezi, postoji nekoliko načina i to:</w:t>
      </w:r>
      <w:r w:rsidRPr="001B2128">
        <w:rPr>
          <w:rFonts w:ascii="Arial" w:eastAsia="Calibri" w:hAnsi="Arial" w:cs="Arial"/>
          <w:lang w:val="sr-Latn-ME"/>
        </w:rPr>
        <w:cr/>
      </w:r>
      <w:r w:rsidRPr="001B2128">
        <w:rPr>
          <w:rFonts w:ascii="Arial" w:hAnsi="Arial" w:cs="Arial"/>
          <w:lang w:val="sr-Latn-ME"/>
        </w:rPr>
        <w:t>Prihvatanje ili tolerisanje rizika</w:t>
      </w:r>
      <w:r w:rsidR="008D3F3E" w:rsidRPr="001B2128">
        <w:rPr>
          <w:rFonts w:ascii="Arial" w:hAnsi="Arial" w:cs="Arial"/>
          <w:lang w:val="sr-Latn-ME"/>
        </w:rPr>
        <w:t>,</w:t>
      </w:r>
      <w:r w:rsidRPr="001B2128">
        <w:rPr>
          <w:rFonts w:ascii="Arial" w:hAnsi="Arial" w:cs="Arial"/>
          <w:lang w:val="sr-Latn-ME"/>
        </w:rPr>
        <w:t xml:space="preserve"> </w:t>
      </w:r>
      <w:r w:rsidRPr="001B2128">
        <w:rPr>
          <w:rFonts w:ascii="Arial" w:eastAsia="Calibri" w:hAnsi="Arial" w:cs="Arial"/>
          <w:lang w:val="sr-Latn-ME"/>
        </w:rPr>
        <w:t xml:space="preserve">kada se </w:t>
      </w:r>
      <w:r w:rsidRPr="001B2128">
        <w:rPr>
          <w:rFonts w:ascii="Arial" w:hAnsi="Arial" w:cs="Arial"/>
          <w:lang w:val="sr-Latn-ME"/>
        </w:rPr>
        <w:t>izloženost riziku može tolerisati bez preduzimanja bilo kakvih mjera. Rizik se prihvata, jer troškovi preduzimanja mjera mogu biti nesrazmjerni u odnosu na moguće koristi ili sposobnost da se nešto preduzme može biti ograničena. U takvim slučajevima reagovanje može biti prihvatanje postojećeg nivoa rizika, s tim da subjekat pripremi planove za slučaj nepredviđenih okolnosti, odnosno rješavanje uticaja koji će se pojaviti u slučaju ostvarenja rizika.</w:t>
      </w:r>
    </w:p>
    <w:p w:rsidR="004F34AF" w:rsidRPr="001B2128" w:rsidRDefault="004F34AF" w:rsidP="004F34AF">
      <w:pPr>
        <w:spacing w:line="240" w:lineRule="atLeast"/>
        <w:ind w:left="-142"/>
        <w:contextualSpacing/>
        <w:jc w:val="both"/>
        <w:rPr>
          <w:rFonts w:ascii="Arial" w:hAnsi="Arial" w:cs="Arial"/>
          <w:lang w:val="sr-Latn-ME"/>
        </w:rPr>
      </w:pPr>
      <w:r w:rsidRPr="001B2128">
        <w:rPr>
          <w:rFonts w:ascii="Arial" w:hAnsi="Arial" w:cs="Arial"/>
          <w:lang w:val="sr-Latn-ME"/>
        </w:rPr>
        <w:t xml:space="preserve">Smanjivanje ili ublažavanje rizika podrazumijeva u najvećem broju slučajeva kada </w:t>
      </w:r>
      <w:r w:rsidR="002E40FC" w:rsidRPr="001B2128">
        <w:rPr>
          <w:rFonts w:ascii="Arial" w:hAnsi="Arial" w:cs="Arial"/>
          <w:lang w:val="sr-Latn-ME"/>
        </w:rPr>
        <w:t>starješine</w:t>
      </w:r>
      <w:r w:rsidRPr="001B2128">
        <w:rPr>
          <w:rFonts w:ascii="Arial" w:hAnsi="Arial" w:cs="Arial"/>
          <w:lang w:val="sr-Latn-ME"/>
        </w:rPr>
        <w:t xml:space="preserve"> reaguju na rizike na način što preduzimaju mjere u cilju smanj</w:t>
      </w:r>
      <w:r w:rsidR="002E40FC" w:rsidRPr="001B2128">
        <w:rPr>
          <w:rFonts w:ascii="Arial" w:hAnsi="Arial" w:cs="Arial"/>
          <w:lang w:val="sr-Latn-ME"/>
        </w:rPr>
        <w:t>enja vjerovatnoće nastanka ili</w:t>
      </w:r>
      <w:r w:rsidRPr="001B2128">
        <w:rPr>
          <w:rFonts w:ascii="Arial" w:hAnsi="Arial" w:cs="Arial"/>
          <w:lang w:val="sr-Latn-ME"/>
        </w:rPr>
        <w:t xml:space="preserve"> uticaja rizika. Svrha ublažavanja rizika je nastavak obavljanja aktivnosti u kojoj se javlja rizik, uz istovremeno preduzimanje mjera radi smanjivanja, odnosno</w:t>
      </w:r>
      <w:r w:rsidR="002E40FC" w:rsidRPr="001B2128">
        <w:rPr>
          <w:rFonts w:ascii="Arial" w:hAnsi="Arial" w:cs="Arial"/>
          <w:lang w:val="sr-Latn-ME"/>
        </w:rPr>
        <w:t>,</w:t>
      </w:r>
      <w:r w:rsidRPr="001B2128">
        <w:rPr>
          <w:rFonts w:ascii="Arial" w:hAnsi="Arial" w:cs="Arial"/>
          <w:lang w:val="sr-Latn-ME"/>
        </w:rPr>
        <w:t xml:space="preserve"> svođenja rizika na prihvatljiv nivo.</w:t>
      </w:r>
      <w:r w:rsidR="002E40FC" w:rsidRPr="001B2128">
        <w:rPr>
          <w:rFonts w:ascii="Arial" w:hAnsi="Arial" w:cs="Arial"/>
          <w:lang w:val="sr-Latn-ME"/>
        </w:rPr>
        <w:t xml:space="preserve"> </w:t>
      </w:r>
      <w:r w:rsidRPr="001B2128">
        <w:rPr>
          <w:rFonts w:ascii="Arial" w:hAnsi="Arial" w:cs="Arial"/>
          <w:lang w:val="sr-Latn-ME"/>
        </w:rPr>
        <w:t>Potrebno je istaći da se u većini slučajeva rizici ne mogu potpuno ukloniti i da svaka aktivnost sadrži u sebi mogući rizik, te da kontrole ocijenjene kao efektivne pružaju samo razumnu uvjerenost da će se definsani ciljevi ostvariti. Isto tako, važno je da uspostavljena kontrola bude srazmjerna riziku, ali i da troškovi kontrole ne budu veći od koristi.</w:t>
      </w:r>
    </w:p>
    <w:p w:rsidR="004F34AF" w:rsidRPr="001B2128" w:rsidRDefault="004F34AF" w:rsidP="004F34AF">
      <w:pPr>
        <w:spacing w:line="240" w:lineRule="atLeast"/>
        <w:ind w:left="-142"/>
        <w:contextualSpacing/>
        <w:jc w:val="both"/>
        <w:rPr>
          <w:rFonts w:ascii="Arial" w:eastAsia="Calibri" w:hAnsi="Arial" w:cs="Arial"/>
          <w:lang w:val="sr-Latn-ME"/>
        </w:rPr>
      </w:pPr>
      <w:r w:rsidRPr="001B2128">
        <w:rPr>
          <w:rFonts w:ascii="Arial" w:hAnsi="Arial" w:cs="Arial"/>
          <w:lang w:val="sr-Latn-ME"/>
        </w:rPr>
        <w:t xml:space="preserve">Prenošenje rizika </w:t>
      </w:r>
      <w:r w:rsidRPr="001B2128">
        <w:rPr>
          <w:rFonts w:ascii="Arial" w:eastAsia="Calibri" w:hAnsi="Arial" w:cs="Arial"/>
          <w:lang w:val="sr-Latn-ME"/>
        </w:rPr>
        <w:t xml:space="preserve">se dešava jer je </w:t>
      </w:r>
      <w:r w:rsidRPr="001B2128">
        <w:rPr>
          <w:rFonts w:ascii="Arial" w:hAnsi="Arial" w:cs="Arial"/>
          <w:lang w:val="sr-Latn-ME"/>
        </w:rPr>
        <w:t>u nekim slučajevima najbolje reagovanje na rizike njihovo prenošenje trećem licu ili dijeljenje rizika s trećim licem. Ova je opcija posebno dobra za ublažavanje finansijskih rizika ili rizika vezanih za imovinu. Prenošenje se može izvršiti putem tradicionalnog osiguranja ili plaćanjem trećem licu koje će preuzeti rizik na drugi način. Međutim, u slučaju kada obavljanje određenih usluga povjerimo drugom treba naglasiti da, iako je upravljanje rizikom prenijeto, subjekat i dalje ostaje odgovoran za rizik. Takve se radnje ugovaraju zato što unutar određene organizacione jedinice ne postoje potrebna sredstva, vještine i stručnost za upravljanje rizikom, odnosno neko je drugi (a to može biti i drugi subjekat) sposobniji za efikasnije upravljanje tim rizikom. Važno je napomenuti da se neki rizici ne mogu u potpunosti prenijeti</w:t>
      </w:r>
      <w:r w:rsidR="002E40FC" w:rsidRPr="001B2128">
        <w:rPr>
          <w:rFonts w:ascii="Arial" w:hAnsi="Arial" w:cs="Arial"/>
          <w:lang w:val="sr-Latn-ME"/>
        </w:rPr>
        <w:t xml:space="preserve"> .</w:t>
      </w:r>
      <w:r w:rsidRPr="001B2128">
        <w:rPr>
          <w:rFonts w:ascii="Arial" w:hAnsi="Arial" w:cs="Arial"/>
          <w:lang w:val="sr-Latn-ME"/>
        </w:rPr>
        <w:t xml:space="preserve"> </w:t>
      </w:r>
    </w:p>
    <w:p w:rsidR="004F34AF" w:rsidRPr="001B2128" w:rsidRDefault="004F34AF" w:rsidP="004F34AF">
      <w:pPr>
        <w:spacing w:line="240" w:lineRule="atLeast"/>
        <w:ind w:left="-142"/>
        <w:contextualSpacing/>
        <w:jc w:val="both"/>
        <w:rPr>
          <w:rFonts w:ascii="Arial" w:hAnsi="Arial" w:cs="Arial"/>
          <w:lang w:val="sr-Latn-ME"/>
        </w:rPr>
      </w:pPr>
      <w:r w:rsidRPr="001B2128">
        <w:rPr>
          <w:rFonts w:ascii="Arial" w:hAnsi="Arial" w:cs="Arial"/>
          <w:lang w:val="sr-Latn-ME"/>
        </w:rPr>
        <w:t xml:space="preserve">lzbjegavanje rizika </w:t>
      </w:r>
      <w:r w:rsidRPr="001B2128">
        <w:rPr>
          <w:rFonts w:ascii="Arial" w:eastAsia="Calibri" w:hAnsi="Arial" w:cs="Arial"/>
          <w:lang w:val="sr-Latn-ME"/>
        </w:rPr>
        <w:t xml:space="preserve">podrazumijeva da </w:t>
      </w:r>
      <w:r w:rsidRPr="001B2128">
        <w:rPr>
          <w:rFonts w:ascii="Arial" w:hAnsi="Arial" w:cs="Arial"/>
          <w:lang w:val="sr-Latn-ME"/>
        </w:rPr>
        <w:t>neke rizike nije moguće tretirati ili svesti na prihvatljiv nivo, pa se samim tim i aktivnost prekida. Međutim, mogućnost da se određene aktivnosti u javnom sektoru ukinu je ograničena, jer je javni sektor zadužen za pružanje usluga građanima i u slučaju kada troškovi prevazilaze koristi. Ova opcija se može koristiti u upravljanju projektima.</w:t>
      </w:r>
    </w:p>
    <w:p w:rsidR="00E70B07" w:rsidRPr="001B2128" w:rsidRDefault="00E70B07" w:rsidP="00E70B07">
      <w:pPr>
        <w:spacing w:line="240" w:lineRule="atLeast"/>
        <w:ind w:left="-142"/>
        <w:contextualSpacing/>
        <w:jc w:val="both"/>
        <w:rPr>
          <w:rFonts w:ascii="Arial" w:hAnsi="Arial" w:cs="Arial"/>
          <w:lang w:val="sr-Latn-ME"/>
        </w:rPr>
      </w:pPr>
    </w:p>
    <w:p w:rsidR="008D3F3E" w:rsidRPr="001B2128" w:rsidRDefault="008D3F3E" w:rsidP="00E70B07">
      <w:pPr>
        <w:spacing w:line="240" w:lineRule="atLeast"/>
        <w:ind w:left="-142"/>
        <w:contextualSpacing/>
        <w:jc w:val="both"/>
        <w:rPr>
          <w:rFonts w:ascii="Arial" w:hAnsi="Arial" w:cs="Arial"/>
          <w:lang w:val="sr-Latn-ME"/>
        </w:rPr>
      </w:pPr>
      <w:r w:rsidRPr="001B2128">
        <w:rPr>
          <w:rFonts w:ascii="Arial" w:hAnsi="Arial" w:cs="Arial"/>
          <w:lang w:val="sr-Latn-ME"/>
        </w:rPr>
        <w:t>Upravljanje rizicima je kontinuiran proces i zbog toga ga je potrebno pratiti, kako bi se blagovremeno uočile sve promjene. Praćenje utvrđenih rizika obuhvata i praćenje sprovođenje mjera za smanjenje rizika.</w:t>
      </w:r>
    </w:p>
    <w:p w:rsidR="008D3F3E" w:rsidRPr="001B2128" w:rsidRDefault="008D3F3E" w:rsidP="008D3F3E">
      <w:pPr>
        <w:spacing w:line="240" w:lineRule="atLeast"/>
        <w:ind w:left="-142"/>
        <w:contextualSpacing/>
        <w:jc w:val="both"/>
        <w:rPr>
          <w:rFonts w:ascii="Arial" w:hAnsi="Arial" w:cs="Arial"/>
          <w:lang w:val="sr-Latn-ME"/>
        </w:rPr>
      </w:pPr>
    </w:p>
    <w:p w:rsidR="004F34AF" w:rsidRPr="001B2128" w:rsidRDefault="004F34AF" w:rsidP="008D3F3E">
      <w:pPr>
        <w:spacing w:line="240" w:lineRule="atLeast"/>
        <w:ind w:left="-142"/>
        <w:contextualSpacing/>
        <w:jc w:val="both"/>
        <w:rPr>
          <w:rFonts w:ascii="Arial" w:hAnsi="Arial" w:cs="Arial"/>
          <w:lang w:val="sr-Latn-ME"/>
        </w:rPr>
      </w:pPr>
      <w:r w:rsidRPr="001B2128">
        <w:rPr>
          <w:rFonts w:ascii="Arial" w:hAnsi="Arial" w:cs="Arial"/>
          <w:lang w:val="sr-Latn-ME"/>
        </w:rPr>
        <w:t>U skladu sa svim prethodno navedenim, a na osnovu člana 7 Zakona o upravljanju i unutrašnjim kontrolama u javnom sektoru, člana 9 Pravilnika o načinu i postupku uspostavljanja i sprovođenja finansijskog upravljanja i kontrola i Smjernicama za uspostavljanje i sprovođenje procesa upravljanja rizicima u subjektima j</w:t>
      </w:r>
      <w:r w:rsidR="00047655" w:rsidRPr="001B2128">
        <w:rPr>
          <w:rFonts w:ascii="Arial" w:hAnsi="Arial" w:cs="Arial"/>
          <w:lang w:val="sr-Latn-ME"/>
        </w:rPr>
        <w:t>avnog sektora,</w:t>
      </w:r>
      <w:r w:rsidRPr="001B2128">
        <w:rPr>
          <w:rFonts w:ascii="Arial" w:hAnsi="Arial" w:cs="Arial"/>
          <w:lang w:val="sr-Latn-ME"/>
        </w:rPr>
        <w:t xml:space="preserve"> u Zavodu za socijalnu i dječju zaštitu uspostavljen je Registar rizika na nivou Zavoda</w:t>
      </w:r>
      <w:r w:rsidR="00047655" w:rsidRPr="001B2128">
        <w:rPr>
          <w:rFonts w:ascii="Arial" w:hAnsi="Arial" w:cs="Arial"/>
          <w:lang w:val="sr-Latn-ME"/>
        </w:rPr>
        <w:t>,</w:t>
      </w:r>
      <w:r w:rsidRPr="001B2128">
        <w:rPr>
          <w:rFonts w:ascii="Arial" w:hAnsi="Arial" w:cs="Arial"/>
          <w:lang w:val="sr-Latn-ME"/>
        </w:rPr>
        <w:t xml:space="preserve"> a  na osnovu podataka dobijenih od rukovodilaca organizacionih jedinica, kako slijedi</w:t>
      </w:r>
      <w:r w:rsidR="00827D8E" w:rsidRPr="001B2128">
        <w:rPr>
          <w:rFonts w:ascii="Arial" w:hAnsi="Arial" w:cs="Arial"/>
          <w:lang w:val="sr-Latn-ME"/>
        </w:rPr>
        <w:t>:</w:t>
      </w:r>
    </w:p>
    <w:p w:rsidR="00B2240F" w:rsidRPr="001B2128" w:rsidRDefault="00B2240F" w:rsidP="008D3F3E">
      <w:pPr>
        <w:spacing w:line="240" w:lineRule="atLeast"/>
        <w:ind w:left="-142"/>
        <w:contextualSpacing/>
        <w:jc w:val="both"/>
        <w:rPr>
          <w:rFonts w:ascii="Arial" w:hAnsi="Arial" w:cs="Arial"/>
          <w:lang w:val="sr-Latn-ME"/>
        </w:rPr>
      </w:pPr>
    </w:p>
    <w:p w:rsidR="00B2240F" w:rsidRPr="001B2128" w:rsidRDefault="00B2240F" w:rsidP="008D3F3E">
      <w:pPr>
        <w:spacing w:line="240" w:lineRule="atLeast"/>
        <w:ind w:left="-142"/>
        <w:contextualSpacing/>
        <w:jc w:val="both"/>
        <w:rPr>
          <w:rFonts w:ascii="Arial" w:hAnsi="Arial" w:cs="Arial"/>
          <w:lang w:val="sr-Latn-ME"/>
        </w:rPr>
      </w:pPr>
    </w:p>
    <w:p w:rsidR="001B2128" w:rsidRDefault="001B2128" w:rsidP="00DF00BA">
      <w:pPr>
        <w:spacing w:line="240" w:lineRule="atLeast"/>
        <w:contextualSpacing/>
        <w:jc w:val="both"/>
        <w:rPr>
          <w:rFonts w:ascii="Arial" w:hAnsi="Arial" w:cs="Arial"/>
          <w:lang w:val="sr-Latn-ME"/>
        </w:rPr>
        <w:sectPr w:rsidR="001B2128" w:rsidSect="00902844">
          <w:headerReference w:type="default" r:id="rId9"/>
          <w:pgSz w:w="12240" w:h="15840"/>
          <w:pgMar w:top="1440" w:right="1440" w:bottom="1440" w:left="1440" w:header="1008" w:footer="0" w:gutter="0"/>
          <w:cols w:space="720"/>
          <w:docGrid w:linePitch="360"/>
        </w:sectPr>
      </w:pPr>
    </w:p>
    <w:p w:rsidR="001B2128" w:rsidRPr="003341AF" w:rsidRDefault="001B2128" w:rsidP="001B2128">
      <w:pPr>
        <w:spacing w:line="240" w:lineRule="atLeast"/>
        <w:contextualSpacing/>
        <w:jc w:val="center"/>
        <w:rPr>
          <w:rFonts w:ascii="Arial" w:eastAsia="Calibri" w:hAnsi="Arial" w:cs="Arial"/>
          <w:b/>
          <w:u w:val="single"/>
          <w:lang w:val="sr-Latn-ME"/>
        </w:rPr>
      </w:pPr>
    </w:p>
    <w:p w:rsidR="001B2128" w:rsidRPr="003341AF" w:rsidRDefault="001B2128" w:rsidP="001B2128">
      <w:pPr>
        <w:spacing w:line="240" w:lineRule="atLeast"/>
        <w:contextualSpacing/>
        <w:jc w:val="center"/>
        <w:rPr>
          <w:rFonts w:ascii="Arial" w:eastAsia="Calibri" w:hAnsi="Arial" w:cs="Arial"/>
          <w:b/>
          <w:u w:val="single"/>
          <w:lang w:val="sr-Latn-ME"/>
        </w:rPr>
      </w:pPr>
      <w:r w:rsidRPr="003341AF">
        <w:rPr>
          <w:rFonts w:ascii="Arial" w:eastAsia="Calibri" w:hAnsi="Arial" w:cs="Arial"/>
          <w:b/>
          <w:u w:val="single"/>
          <w:lang w:val="sr-Latn-ME"/>
        </w:rPr>
        <w:t>IDENTIFIKOVANI RIZICI U ORGANIZACIONIM JEDINICAMA ZAVODA</w:t>
      </w:r>
    </w:p>
    <w:p w:rsidR="001B2128" w:rsidRPr="003341AF" w:rsidRDefault="001B2128" w:rsidP="001B2128">
      <w:pPr>
        <w:spacing w:line="240" w:lineRule="atLeast"/>
        <w:ind w:left="-142"/>
        <w:contextualSpacing/>
        <w:rPr>
          <w:rFonts w:ascii="Arial" w:eastAsia="Calibri" w:hAnsi="Arial" w:cs="Arial"/>
          <w:b/>
          <w:lang w:val="sr-Latn-ME"/>
        </w:rPr>
      </w:pPr>
    </w:p>
    <w:p w:rsidR="001B2128" w:rsidRPr="003341AF" w:rsidRDefault="001B2128" w:rsidP="001B2128">
      <w:pPr>
        <w:spacing w:line="240" w:lineRule="atLeast"/>
        <w:ind w:left="-142"/>
        <w:contextualSpacing/>
        <w:rPr>
          <w:rFonts w:ascii="Arial" w:eastAsia="Calibri" w:hAnsi="Arial" w:cs="Arial"/>
          <w:b/>
          <w:lang w:val="sr-Latn-ME"/>
        </w:rPr>
      </w:pPr>
    </w:p>
    <w:p w:rsidR="001B2128" w:rsidRPr="003341AF" w:rsidRDefault="001B2128" w:rsidP="001B2128">
      <w:pPr>
        <w:spacing w:line="240" w:lineRule="atLeast"/>
        <w:ind w:left="-142"/>
        <w:contextualSpacing/>
        <w:rPr>
          <w:rFonts w:ascii="Arial" w:eastAsia="Calibri" w:hAnsi="Arial" w:cs="Arial"/>
          <w:b/>
          <w:lang w:val="sr-Latn-ME"/>
        </w:rPr>
      </w:pPr>
    </w:p>
    <w:p w:rsidR="001B2128" w:rsidRPr="003341AF" w:rsidRDefault="001B2128" w:rsidP="001B2128">
      <w:pPr>
        <w:spacing w:line="240" w:lineRule="atLeast"/>
        <w:ind w:left="-142"/>
        <w:contextualSpacing/>
        <w:rPr>
          <w:rFonts w:ascii="Arial" w:eastAsia="Calibri" w:hAnsi="Arial" w:cs="Arial"/>
          <w:b/>
          <w:lang w:val="sr-Latn-ME"/>
        </w:rPr>
      </w:pPr>
    </w:p>
    <w:p w:rsidR="001B2128" w:rsidRPr="003341AF" w:rsidRDefault="001B2128" w:rsidP="001B2128">
      <w:pPr>
        <w:spacing w:line="240" w:lineRule="atLeast"/>
        <w:ind w:left="-142"/>
        <w:contextualSpacing/>
        <w:rPr>
          <w:rFonts w:ascii="Arial" w:eastAsia="Calibri" w:hAnsi="Arial" w:cs="Arial"/>
          <w:b/>
          <w:lang w:val="sr-Latn-ME"/>
        </w:rPr>
      </w:pPr>
      <w:r w:rsidRPr="003341AF">
        <w:rPr>
          <w:rFonts w:ascii="Arial" w:eastAsia="Calibri" w:hAnsi="Arial" w:cs="Arial"/>
          <w:b/>
          <w:lang w:val="sr-Latn-ME"/>
        </w:rPr>
        <w:t>SLUŽBA ZA OPŠTE POSLOVE I FINANSIJE</w:t>
      </w:r>
    </w:p>
    <w:p w:rsidR="001B2128" w:rsidRPr="003341AF" w:rsidRDefault="001B2128" w:rsidP="001B2128">
      <w:pPr>
        <w:spacing w:line="240" w:lineRule="atLeast"/>
        <w:ind w:left="709"/>
        <w:contextualSpacing/>
        <w:jc w:val="both"/>
        <w:rPr>
          <w:rFonts w:ascii="Arial" w:eastAsia="Calibri" w:hAnsi="Arial" w:cs="Arial"/>
          <w:lang w:val="sr-Latn-ME"/>
        </w:rPr>
      </w:pPr>
      <w:r w:rsidRPr="003341AF">
        <w:rPr>
          <w:rFonts w:ascii="Arial" w:eastAsia="Calibri" w:hAnsi="Arial" w:cs="Arial"/>
          <w:lang w:val="sr-Latn-ME"/>
        </w:rPr>
        <w:t xml:space="preserve"> </w:t>
      </w:r>
    </w:p>
    <w:tbl>
      <w:tblPr>
        <w:tblW w:w="148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238"/>
        <w:gridCol w:w="1843"/>
        <w:gridCol w:w="708"/>
        <w:gridCol w:w="1022"/>
        <w:gridCol w:w="142"/>
        <w:gridCol w:w="709"/>
        <w:gridCol w:w="1984"/>
        <w:gridCol w:w="2410"/>
        <w:gridCol w:w="1701"/>
        <w:gridCol w:w="1531"/>
      </w:tblGrid>
      <w:tr w:rsidR="001B2128" w:rsidRPr="003341AF" w:rsidTr="00291635">
        <w:trPr>
          <w:trHeight w:val="455"/>
        </w:trPr>
        <w:tc>
          <w:tcPr>
            <w:tcW w:w="568" w:type="dxa"/>
            <w:vMerge w:val="restart"/>
            <w:shd w:val="clear" w:color="auto" w:fill="auto"/>
            <w:vAlign w:val="center"/>
          </w:tcPr>
          <w:p w:rsidR="001B2128" w:rsidRPr="003341AF" w:rsidRDefault="001B2128" w:rsidP="00291635">
            <w:pPr>
              <w:spacing w:after="0" w:line="240" w:lineRule="auto"/>
              <w:ind w:hanging="84"/>
              <w:jc w:val="center"/>
              <w:rPr>
                <w:rFonts w:ascii="Arial" w:eastAsia="Times New Roman" w:hAnsi="Arial" w:cs="Arial"/>
                <w:b/>
                <w:bCs/>
                <w:i/>
                <w:sz w:val="20"/>
                <w:szCs w:val="20"/>
                <w:lang w:val="sr-Latn-ME"/>
              </w:rPr>
            </w:pPr>
            <w:r w:rsidRPr="003341AF">
              <w:rPr>
                <w:rFonts w:ascii="Arial" w:eastAsia="Times New Roman" w:hAnsi="Arial" w:cs="Arial"/>
                <w:b/>
                <w:bCs/>
                <w:i/>
                <w:sz w:val="20"/>
                <w:szCs w:val="20"/>
                <w:lang w:val="sr-Latn-ME"/>
              </w:rPr>
              <w:t>R.b</w:t>
            </w:r>
          </w:p>
        </w:tc>
        <w:tc>
          <w:tcPr>
            <w:tcW w:w="2238" w:type="dxa"/>
            <w:vMerge w:val="restart"/>
            <w:shd w:val="clear" w:color="auto" w:fill="auto"/>
            <w:vAlign w:val="center"/>
          </w:tcPr>
          <w:p w:rsidR="001B2128" w:rsidRPr="003341AF" w:rsidRDefault="001B2128" w:rsidP="00291635">
            <w:pPr>
              <w:spacing w:after="0" w:line="240" w:lineRule="auto"/>
              <w:jc w:val="center"/>
              <w:rPr>
                <w:rFonts w:ascii="Arial" w:eastAsia="Times New Roman" w:hAnsi="Arial" w:cs="Arial"/>
                <w:b/>
                <w:bCs/>
                <w:i/>
                <w:sz w:val="20"/>
                <w:szCs w:val="20"/>
                <w:lang w:val="sr-Latn-ME"/>
              </w:rPr>
            </w:pPr>
            <w:r w:rsidRPr="003341AF">
              <w:rPr>
                <w:rFonts w:ascii="Arial" w:eastAsia="Times New Roman" w:hAnsi="Arial" w:cs="Arial"/>
                <w:b/>
                <w:bCs/>
                <w:i/>
                <w:sz w:val="20"/>
                <w:szCs w:val="20"/>
                <w:lang w:val="sr-Latn-ME"/>
              </w:rPr>
              <w:t>Opis rizika</w:t>
            </w:r>
          </w:p>
        </w:tc>
        <w:tc>
          <w:tcPr>
            <w:tcW w:w="1843" w:type="dxa"/>
            <w:vMerge w:val="restart"/>
            <w:shd w:val="clear" w:color="auto" w:fill="auto"/>
            <w:vAlign w:val="center"/>
          </w:tcPr>
          <w:p w:rsidR="001B2128" w:rsidRPr="003341AF" w:rsidRDefault="001B2128" w:rsidP="00291635">
            <w:pPr>
              <w:spacing w:after="0" w:line="240" w:lineRule="auto"/>
              <w:jc w:val="center"/>
              <w:rPr>
                <w:rFonts w:ascii="Arial" w:eastAsia="Times New Roman" w:hAnsi="Arial" w:cs="Arial"/>
                <w:b/>
                <w:bCs/>
                <w:i/>
                <w:sz w:val="20"/>
                <w:szCs w:val="20"/>
                <w:lang w:val="sr-Latn-ME"/>
              </w:rPr>
            </w:pPr>
            <w:r w:rsidRPr="003341AF">
              <w:rPr>
                <w:rFonts w:ascii="Arial" w:eastAsia="Times New Roman" w:hAnsi="Arial" w:cs="Arial"/>
                <w:b/>
                <w:bCs/>
                <w:i/>
                <w:sz w:val="20"/>
                <w:szCs w:val="20"/>
                <w:lang w:val="sr-Latn-ME"/>
              </w:rPr>
              <w:t>Vrsta rizika</w:t>
            </w:r>
          </w:p>
        </w:tc>
        <w:tc>
          <w:tcPr>
            <w:tcW w:w="2581" w:type="dxa"/>
            <w:gridSpan w:val="4"/>
            <w:tcBorders>
              <w:bottom w:val="single" w:sz="4" w:space="0" w:color="auto"/>
            </w:tcBorders>
            <w:shd w:val="clear" w:color="auto" w:fill="auto"/>
            <w:vAlign w:val="center"/>
          </w:tcPr>
          <w:p w:rsidR="001B2128" w:rsidRPr="003341AF" w:rsidRDefault="001B2128" w:rsidP="00291635">
            <w:pPr>
              <w:spacing w:after="0" w:line="240" w:lineRule="auto"/>
              <w:jc w:val="center"/>
              <w:rPr>
                <w:rFonts w:ascii="Arial" w:eastAsia="Times New Roman" w:hAnsi="Arial" w:cs="Arial"/>
                <w:b/>
                <w:bCs/>
                <w:i/>
                <w:sz w:val="20"/>
                <w:szCs w:val="20"/>
                <w:lang w:val="sr-Latn-ME"/>
              </w:rPr>
            </w:pPr>
            <w:r w:rsidRPr="003341AF">
              <w:rPr>
                <w:rFonts w:ascii="Arial" w:eastAsia="Times New Roman" w:hAnsi="Arial" w:cs="Arial"/>
                <w:b/>
                <w:bCs/>
                <w:i/>
                <w:sz w:val="20"/>
                <w:szCs w:val="20"/>
                <w:lang w:val="sr-Latn-ME"/>
              </w:rPr>
              <w:t>Rangiranje rizika</w:t>
            </w:r>
          </w:p>
        </w:tc>
        <w:tc>
          <w:tcPr>
            <w:tcW w:w="1984" w:type="dxa"/>
            <w:vMerge w:val="restart"/>
            <w:vAlign w:val="center"/>
          </w:tcPr>
          <w:p w:rsidR="001B2128" w:rsidRPr="003341AF" w:rsidRDefault="001B2128" w:rsidP="00291635">
            <w:pPr>
              <w:spacing w:after="0" w:line="240" w:lineRule="auto"/>
              <w:jc w:val="center"/>
              <w:rPr>
                <w:rFonts w:ascii="Arial" w:eastAsia="Times New Roman" w:hAnsi="Arial" w:cs="Arial"/>
                <w:b/>
                <w:bCs/>
                <w:i/>
                <w:sz w:val="20"/>
                <w:szCs w:val="20"/>
                <w:lang w:val="sr-Latn-ME"/>
              </w:rPr>
            </w:pPr>
            <w:r w:rsidRPr="003341AF">
              <w:rPr>
                <w:rFonts w:ascii="Arial" w:eastAsia="Times New Roman" w:hAnsi="Arial" w:cs="Arial"/>
                <w:b/>
                <w:bCs/>
                <w:i/>
                <w:sz w:val="20"/>
                <w:szCs w:val="20"/>
                <w:lang w:val="sr-Latn-ME"/>
              </w:rPr>
              <w:t>Pregled postojećih kontrola</w:t>
            </w:r>
          </w:p>
        </w:tc>
        <w:tc>
          <w:tcPr>
            <w:tcW w:w="2410" w:type="dxa"/>
            <w:vMerge w:val="restart"/>
            <w:shd w:val="clear" w:color="auto" w:fill="auto"/>
            <w:vAlign w:val="center"/>
          </w:tcPr>
          <w:p w:rsidR="001B2128" w:rsidRPr="003341AF" w:rsidRDefault="001B2128" w:rsidP="00291635">
            <w:pPr>
              <w:spacing w:after="0" w:line="240" w:lineRule="auto"/>
              <w:jc w:val="center"/>
              <w:rPr>
                <w:rFonts w:ascii="Arial" w:eastAsia="Times New Roman" w:hAnsi="Arial" w:cs="Arial"/>
                <w:b/>
                <w:bCs/>
                <w:i/>
                <w:sz w:val="20"/>
                <w:szCs w:val="20"/>
                <w:lang w:val="sr-Latn-ME"/>
              </w:rPr>
            </w:pPr>
            <w:r w:rsidRPr="003341AF">
              <w:rPr>
                <w:rFonts w:ascii="Arial" w:eastAsia="Times New Roman" w:hAnsi="Arial" w:cs="Arial"/>
                <w:b/>
                <w:bCs/>
                <w:i/>
                <w:sz w:val="20"/>
                <w:szCs w:val="20"/>
                <w:lang w:val="sr-Latn-ME"/>
              </w:rPr>
              <w:t>Reagovanje na rizik</w:t>
            </w:r>
          </w:p>
        </w:tc>
        <w:tc>
          <w:tcPr>
            <w:tcW w:w="1701" w:type="dxa"/>
            <w:vMerge w:val="restart"/>
            <w:shd w:val="clear" w:color="auto" w:fill="auto"/>
            <w:vAlign w:val="center"/>
          </w:tcPr>
          <w:p w:rsidR="001B2128" w:rsidRPr="003341AF" w:rsidRDefault="001B2128" w:rsidP="00291635">
            <w:pPr>
              <w:spacing w:after="0" w:line="240" w:lineRule="auto"/>
              <w:jc w:val="center"/>
              <w:rPr>
                <w:rFonts w:ascii="Arial" w:eastAsia="Times New Roman" w:hAnsi="Arial" w:cs="Arial"/>
                <w:b/>
                <w:bCs/>
                <w:i/>
                <w:sz w:val="20"/>
                <w:szCs w:val="20"/>
                <w:lang w:val="sr-Latn-ME"/>
              </w:rPr>
            </w:pPr>
            <w:r w:rsidRPr="003341AF">
              <w:rPr>
                <w:rFonts w:ascii="Arial" w:eastAsia="Times New Roman" w:hAnsi="Arial" w:cs="Arial"/>
                <w:b/>
                <w:bCs/>
                <w:i/>
                <w:sz w:val="20"/>
                <w:szCs w:val="20"/>
                <w:lang w:val="sr-Latn-ME"/>
              </w:rPr>
              <w:t>Odgovorna osoba za rizik</w:t>
            </w:r>
          </w:p>
        </w:tc>
        <w:tc>
          <w:tcPr>
            <w:tcW w:w="1531" w:type="dxa"/>
            <w:vMerge w:val="restart"/>
            <w:shd w:val="clear" w:color="auto" w:fill="auto"/>
            <w:vAlign w:val="center"/>
          </w:tcPr>
          <w:p w:rsidR="001B2128" w:rsidRPr="003341AF" w:rsidRDefault="001B2128" w:rsidP="00291635">
            <w:pPr>
              <w:spacing w:after="0" w:line="240" w:lineRule="auto"/>
              <w:jc w:val="center"/>
              <w:rPr>
                <w:rFonts w:ascii="Arial" w:eastAsia="Times New Roman" w:hAnsi="Arial" w:cs="Arial"/>
                <w:b/>
                <w:bCs/>
                <w:i/>
                <w:sz w:val="20"/>
                <w:szCs w:val="20"/>
                <w:lang w:val="sr-Latn-ME"/>
              </w:rPr>
            </w:pPr>
            <w:r w:rsidRPr="003341AF">
              <w:rPr>
                <w:rFonts w:ascii="Arial" w:eastAsia="Times New Roman" w:hAnsi="Arial" w:cs="Arial"/>
                <w:b/>
                <w:bCs/>
                <w:i/>
                <w:sz w:val="20"/>
                <w:szCs w:val="20"/>
                <w:lang w:val="sr-Latn-ME"/>
              </w:rPr>
              <w:t>Rok za</w:t>
            </w:r>
          </w:p>
          <w:p w:rsidR="001B2128" w:rsidRPr="003341AF" w:rsidRDefault="001B2128" w:rsidP="00291635">
            <w:pPr>
              <w:spacing w:after="0" w:line="240" w:lineRule="auto"/>
              <w:jc w:val="center"/>
              <w:rPr>
                <w:rFonts w:ascii="Arial" w:eastAsia="Times New Roman" w:hAnsi="Arial" w:cs="Arial"/>
                <w:b/>
                <w:bCs/>
                <w:i/>
                <w:sz w:val="20"/>
                <w:szCs w:val="20"/>
                <w:lang w:val="sr-Latn-ME"/>
              </w:rPr>
            </w:pPr>
            <w:r w:rsidRPr="003341AF">
              <w:rPr>
                <w:rFonts w:ascii="Arial" w:eastAsia="Times New Roman" w:hAnsi="Arial" w:cs="Arial"/>
                <w:b/>
                <w:bCs/>
                <w:i/>
                <w:sz w:val="20"/>
                <w:szCs w:val="20"/>
                <w:lang w:val="sr-Latn-ME"/>
              </w:rPr>
              <w:t xml:space="preserve"> sprovođenje</w:t>
            </w:r>
          </w:p>
        </w:tc>
      </w:tr>
      <w:tr w:rsidR="001B2128" w:rsidRPr="003341AF" w:rsidTr="00291635">
        <w:trPr>
          <w:cantSplit/>
          <w:trHeight w:val="356"/>
        </w:trPr>
        <w:tc>
          <w:tcPr>
            <w:tcW w:w="568" w:type="dxa"/>
            <w:vMerge/>
            <w:shd w:val="clear" w:color="auto" w:fill="auto"/>
            <w:vAlign w:val="center"/>
          </w:tcPr>
          <w:p w:rsidR="001B2128" w:rsidRPr="003341AF" w:rsidRDefault="001B2128" w:rsidP="00291635">
            <w:pPr>
              <w:spacing w:after="0" w:line="360" w:lineRule="auto"/>
              <w:jc w:val="both"/>
              <w:rPr>
                <w:rFonts w:ascii="Arial" w:eastAsia="Times New Roman" w:hAnsi="Arial" w:cs="Arial"/>
                <w:bCs/>
                <w:lang w:val="sr-Latn-ME"/>
              </w:rPr>
            </w:pPr>
          </w:p>
        </w:tc>
        <w:tc>
          <w:tcPr>
            <w:tcW w:w="2238" w:type="dxa"/>
            <w:vMerge/>
            <w:shd w:val="clear" w:color="auto" w:fill="auto"/>
            <w:vAlign w:val="center"/>
          </w:tcPr>
          <w:p w:rsidR="001B2128" w:rsidRPr="003341AF" w:rsidRDefault="001B2128" w:rsidP="00291635">
            <w:pPr>
              <w:autoSpaceDE w:val="0"/>
              <w:autoSpaceDN w:val="0"/>
              <w:adjustRightInd w:val="0"/>
              <w:spacing w:after="0" w:line="240" w:lineRule="auto"/>
              <w:jc w:val="both"/>
              <w:rPr>
                <w:rFonts w:ascii="Arial" w:eastAsia="Calibri" w:hAnsi="Arial" w:cs="Arial"/>
                <w:color w:val="000000"/>
                <w:lang w:val="sr-Latn-ME"/>
              </w:rPr>
            </w:pPr>
          </w:p>
        </w:tc>
        <w:tc>
          <w:tcPr>
            <w:tcW w:w="1843" w:type="dxa"/>
            <w:vMerge/>
            <w:shd w:val="clear" w:color="auto" w:fill="auto"/>
            <w:vAlign w:val="center"/>
          </w:tcPr>
          <w:p w:rsidR="001B2128" w:rsidRPr="003341AF" w:rsidRDefault="001B2128" w:rsidP="00291635">
            <w:pPr>
              <w:autoSpaceDE w:val="0"/>
              <w:autoSpaceDN w:val="0"/>
              <w:adjustRightInd w:val="0"/>
              <w:spacing w:after="0" w:line="240" w:lineRule="atLeast"/>
              <w:jc w:val="both"/>
              <w:rPr>
                <w:rFonts w:ascii="Arial" w:eastAsia="Calibri" w:hAnsi="Arial" w:cs="Arial"/>
                <w:highlight w:val="yellow"/>
                <w:lang w:val="sr-Latn-ME"/>
              </w:rPr>
            </w:pPr>
          </w:p>
        </w:tc>
        <w:tc>
          <w:tcPr>
            <w:tcW w:w="708" w:type="dxa"/>
            <w:tcBorders>
              <w:top w:val="single" w:sz="4" w:space="0" w:color="auto"/>
              <w:bottom w:val="single" w:sz="4" w:space="0" w:color="auto"/>
              <w:right w:val="single" w:sz="4" w:space="0" w:color="auto"/>
            </w:tcBorders>
            <w:shd w:val="clear" w:color="auto" w:fill="auto"/>
            <w:vAlign w:val="center"/>
          </w:tcPr>
          <w:p w:rsidR="001B2128" w:rsidRPr="003341AF" w:rsidRDefault="001B2128" w:rsidP="00291635">
            <w:pPr>
              <w:spacing w:after="0" w:line="360" w:lineRule="auto"/>
              <w:jc w:val="center"/>
              <w:rPr>
                <w:rFonts w:ascii="Arial" w:eastAsia="Times New Roman" w:hAnsi="Arial" w:cs="Arial"/>
                <w:b/>
                <w:bCs/>
                <w:i/>
                <w:spacing w:val="-4"/>
                <w:sz w:val="14"/>
                <w:szCs w:val="14"/>
                <w:lang w:val="sr-Latn-ME"/>
              </w:rPr>
            </w:pPr>
            <w:r w:rsidRPr="003341AF">
              <w:rPr>
                <w:rFonts w:ascii="Arial" w:eastAsia="Times New Roman" w:hAnsi="Arial" w:cs="Arial"/>
                <w:b/>
                <w:bCs/>
                <w:i/>
                <w:spacing w:val="-4"/>
                <w:sz w:val="14"/>
                <w:szCs w:val="14"/>
                <w:lang w:val="sr-Latn-ME"/>
              </w:rPr>
              <w:t>Uticaj</w:t>
            </w:r>
          </w:p>
        </w:tc>
        <w:tc>
          <w:tcPr>
            <w:tcW w:w="11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2128" w:rsidRPr="003341AF" w:rsidRDefault="001B2128" w:rsidP="00291635">
            <w:pPr>
              <w:spacing w:after="0" w:line="360" w:lineRule="auto"/>
              <w:jc w:val="center"/>
              <w:rPr>
                <w:rFonts w:ascii="Arial" w:eastAsia="Times New Roman" w:hAnsi="Arial" w:cs="Arial"/>
                <w:b/>
                <w:bCs/>
                <w:i/>
                <w:spacing w:val="-6"/>
                <w:sz w:val="14"/>
                <w:szCs w:val="14"/>
                <w:lang w:val="sr-Latn-ME"/>
              </w:rPr>
            </w:pPr>
            <w:r w:rsidRPr="003341AF">
              <w:rPr>
                <w:rFonts w:ascii="Arial" w:eastAsia="Times New Roman" w:hAnsi="Arial" w:cs="Arial"/>
                <w:b/>
                <w:bCs/>
                <w:i/>
                <w:spacing w:val="-6"/>
                <w:sz w:val="14"/>
                <w:szCs w:val="14"/>
                <w:lang w:val="sr-Latn-ME"/>
              </w:rPr>
              <w:t>Vjerovatnoća</w:t>
            </w:r>
          </w:p>
        </w:tc>
        <w:tc>
          <w:tcPr>
            <w:tcW w:w="709" w:type="dxa"/>
            <w:tcBorders>
              <w:top w:val="single" w:sz="4" w:space="0" w:color="auto"/>
              <w:left w:val="single" w:sz="4" w:space="0" w:color="auto"/>
              <w:bottom w:val="single" w:sz="4" w:space="0" w:color="auto"/>
            </w:tcBorders>
            <w:shd w:val="clear" w:color="auto" w:fill="auto"/>
            <w:vAlign w:val="center"/>
          </w:tcPr>
          <w:p w:rsidR="001B2128" w:rsidRPr="003341AF" w:rsidRDefault="001B2128" w:rsidP="00291635">
            <w:pPr>
              <w:spacing w:after="0" w:line="360" w:lineRule="auto"/>
              <w:jc w:val="center"/>
              <w:rPr>
                <w:rFonts w:ascii="Arial" w:eastAsia="Times New Roman" w:hAnsi="Arial" w:cs="Arial"/>
                <w:b/>
                <w:bCs/>
                <w:i/>
                <w:spacing w:val="-6"/>
                <w:sz w:val="14"/>
                <w:szCs w:val="14"/>
                <w:lang w:val="sr-Latn-ME"/>
              </w:rPr>
            </w:pPr>
            <w:r w:rsidRPr="003341AF">
              <w:rPr>
                <w:rFonts w:ascii="Arial" w:eastAsia="Times New Roman" w:hAnsi="Arial" w:cs="Arial"/>
                <w:b/>
                <w:bCs/>
                <w:i/>
                <w:spacing w:val="-6"/>
                <w:sz w:val="14"/>
                <w:szCs w:val="14"/>
                <w:lang w:val="sr-Latn-ME"/>
              </w:rPr>
              <w:t>Ukupno</w:t>
            </w:r>
          </w:p>
        </w:tc>
        <w:tc>
          <w:tcPr>
            <w:tcW w:w="1984" w:type="dxa"/>
            <w:vMerge/>
          </w:tcPr>
          <w:p w:rsidR="001B2128" w:rsidRPr="003341AF" w:rsidRDefault="001B2128" w:rsidP="00291635">
            <w:pPr>
              <w:autoSpaceDE w:val="0"/>
              <w:autoSpaceDN w:val="0"/>
              <w:adjustRightInd w:val="0"/>
              <w:spacing w:after="0" w:line="240" w:lineRule="auto"/>
              <w:jc w:val="both"/>
              <w:rPr>
                <w:rFonts w:ascii="Arial" w:eastAsia="Calibri" w:hAnsi="Arial" w:cs="Arial"/>
                <w:lang w:val="sr-Latn-ME"/>
              </w:rPr>
            </w:pPr>
          </w:p>
        </w:tc>
        <w:tc>
          <w:tcPr>
            <w:tcW w:w="2410" w:type="dxa"/>
            <w:vMerge/>
            <w:shd w:val="clear" w:color="auto" w:fill="auto"/>
            <w:vAlign w:val="center"/>
          </w:tcPr>
          <w:p w:rsidR="001B2128" w:rsidRPr="003341AF" w:rsidRDefault="001B2128" w:rsidP="00291635">
            <w:pPr>
              <w:autoSpaceDE w:val="0"/>
              <w:autoSpaceDN w:val="0"/>
              <w:adjustRightInd w:val="0"/>
              <w:spacing w:after="0" w:line="240" w:lineRule="auto"/>
              <w:jc w:val="both"/>
              <w:rPr>
                <w:rFonts w:ascii="Arial" w:eastAsia="Calibri" w:hAnsi="Arial" w:cs="Arial"/>
                <w:color w:val="000000"/>
                <w:lang w:val="sr-Latn-ME"/>
              </w:rPr>
            </w:pPr>
          </w:p>
        </w:tc>
        <w:tc>
          <w:tcPr>
            <w:tcW w:w="1701" w:type="dxa"/>
            <w:vMerge/>
            <w:shd w:val="clear" w:color="auto" w:fill="auto"/>
            <w:vAlign w:val="center"/>
          </w:tcPr>
          <w:p w:rsidR="001B2128" w:rsidRPr="003341AF" w:rsidRDefault="001B2128" w:rsidP="00291635">
            <w:pPr>
              <w:spacing w:after="0" w:line="360" w:lineRule="auto"/>
              <w:jc w:val="both"/>
              <w:rPr>
                <w:rFonts w:ascii="Arial" w:eastAsia="Times New Roman" w:hAnsi="Arial" w:cs="Arial"/>
                <w:bCs/>
                <w:i/>
                <w:lang w:val="sr-Latn-ME"/>
              </w:rPr>
            </w:pPr>
          </w:p>
        </w:tc>
        <w:tc>
          <w:tcPr>
            <w:tcW w:w="1531" w:type="dxa"/>
            <w:vMerge/>
            <w:shd w:val="clear" w:color="auto" w:fill="auto"/>
            <w:vAlign w:val="center"/>
          </w:tcPr>
          <w:p w:rsidR="001B2128" w:rsidRPr="003341AF" w:rsidRDefault="001B2128" w:rsidP="00291635">
            <w:pPr>
              <w:spacing w:after="0" w:line="360" w:lineRule="auto"/>
              <w:jc w:val="both"/>
              <w:rPr>
                <w:rFonts w:ascii="Arial" w:eastAsia="Times New Roman" w:hAnsi="Arial" w:cs="Arial"/>
                <w:bCs/>
                <w:lang w:val="sr-Latn-ME"/>
              </w:rPr>
            </w:pPr>
          </w:p>
        </w:tc>
      </w:tr>
      <w:tr w:rsidR="001B2128" w:rsidRPr="003341AF" w:rsidTr="00291635">
        <w:trPr>
          <w:cantSplit/>
          <w:trHeight w:val="3497"/>
        </w:trPr>
        <w:tc>
          <w:tcPr>
            <w:tcW w:w="568" w:type="dxa"/>
            <w:shd w:val="clear" w:color="auto" w:fill="auto"/>
            <w:vAlign w:val="center"/>
          </w:tcPr>
          <w:p w:rsidR="001B2128" w:rsidRPr="003341AF" w:rsidRDefault="001B2128" w:rsidP="00291635">
            <w:pPr>
              <w:spacing w:after="0" w:line="360" w:lineRule="auto"/>
              <w:rPr>
                <w:rFonts w:ascii="Arial" w:eastAsia="Times New Roman" w:hAnsi="Arial" w:cs="Arial"/>
                <w:bCs/>
                <w:sz w:val="20"/>
                <w:szCs w:val="20"/>
                <w:lang w:val="sr-Latn-ME"/>
              </w:rPr>
            </w:pPr>
            <w:r w:rsidRPr="003341AF">
              <w:rPr>
                <w:rFonts w:ascii="Arial" w:eastAsia="Times New Roman" w:hAnsi="Arial" w:cs="Arial"/>
                <w:bCs/>
                <w:sz w:val="20"/>
                <w:szCs w:val="20"/>
                <w:lang w:val="sr-Latn-ME"/>
              </w:rPr>
              <w:t>1.</w:t>
            </w:r>
          </w:p>
        </w:tc>
        <w:tc>
          <w:tcPr>
            <w:tcW w:w="2238" w:type="dxa"/>
            <w:shd w:val="clear" w:color="auto" w:fill="auto"/>
            <w:vAlign w:val="center"/>
          </w:tcPr>
          <w:p w:rsidR="001B2128" w:rsidRPr="003341AF" w:rsidRDefault="001B2128" w:rsidP="00291635">
            <w:pPr>
              <w:autoSpaceDE w:val="0"/>
              <w:autoSpaceDN w:val="0"/>
              <w:adjustRightInd w:val="0"/>
              <w:spacing w:after="0" w:line="240" w:lineRule="auto"/>
              <w:jc w:val="both"/>
              <w:rPr>
                <w:rFonts w:ascii="Arial" w:eastAsia="Calibri" w:hAnsi="Arial" w:cs="Arial"/>
                <w:sz w:val="20"/>
                <w:szCs w:val="20"/>
                <w:lang w:val="sr-Latn-ME"/>
              </w:rPr>
            </w:pPr>
            <w:r w:rsidRPr="003341AF">
              <w:rPr>
                <w:rFonts w:ascii="Arial" w:eastAsia="Calibri" w:hAnsi="Arial" w:cs="Arial"/>
                <w:sz w:val="20"/>
                <w:szCs w:val="20"/>
                <w:lang w:val="sr-Latn-ME"/>
              </w:rPr>
              <w:t>Izmjena Zakona o zaradama zaposlenih u javnom sektoru i Granskog kolektivnog ugovora za oblast uprave i pravosuđa nakon usvojenog Zakona o Budžetu</w:t>
            </w:r>
          </w:p>
          <w:p w:rsidR="001B2128" w:rsidRPr="003341AF" w:rsidRDefault="001B2128" w:rsidP="00291635">
            <w:pPr>
              <w:autoSpaceDE w:val="0"/>
              <w:autoSpaceDN w:val="0"/>
              <w:adjustRightInd w:val="0"/>
              <w:spacing w:after="0" w:line="240" w:lineRule="auto"/>
              <w:jc w:val="both"/>
              <w:rPr>
                <w:rFonts w:ascii="Arial" w:eastAsia="Calibri" w:hAnsi="Arial" w:cs="Arial"/>
                <w:sz w:val="20"/>
                <w:szCs w:val="20"/>
                <w:lang w:val="sr-Latn-ME"/>
              </w:rPr>
            </w:pPr>
          </w:p>
          <w:p w:rsidR="001B2128" w:rsidRPr="003341AF" w:rsidRDefault="001B2128" w:rsidP="00291635">
            <w:pPr>
              <w:autoSpaceDE w:val="0"/>
              <w:autoSpaceDN w:val="0"/>
              <w:adjustRightInd w:val="0"/>
              <w:spacing w:after="0" w:line="240" w:lineRule="auto"/>
              <w:jc w:val="both"/>
              <w:rPr>
                <w:rFonts w:ascii="Arial" w:eastAsia="Calibri" w:hAnsi="Arial" w:cs="Arial"/>
                <w:sz w:val="20"/>
                <w:szCs w:val="20"/>
                <w:lang w:val="sr-Latn-ME"/>
              </w:rPr>
            </w:pPr>
          </w:p>
          <w:p w:rsidR="001B2128" w:rsidRPr="003341AF" w:rsidRDefault="001B2128" w:rsidP="00291635">
            <w:pPr>
              <w:autoSpaceDE w:val="0"/>
              <w:autoSpaceDN w:val="0"/>
              <w:adjustRightInd w:val="0"/>
              <w:spacing w:after="0" w:line="240" w:lineRule="auto"/>
              <w:jc w:val="both"/>
              <w:rPr>
                <w:rFonts w:ascii="Arial" w:eastAsia="Calibri" w:hAnsi="Arial" w:cs="Arial"/>
                <w:sz w:val="20"/>
                <w:szCs w:val="20"/>
                <w:lang w:val="sr-Latn-ME"/>
              </w:rPr>
            </w:pPr>
          </w:p>
        </w:tc>
        <w:tc>
          <w:tcPr>
            <w:tcW w:w="1843" w:type="dxa"/>
            <w:shd w:val="clear" w:color="auto" w:fill="auto"/>
            <w:vAlign w:val="center"/>
          </w:tcPr>
          <w:p w:rsidR="001B2128" w:rsidRPr="003341AF" w:rsidRDefault="001B2128" w:rsidP="00291635">
            <w:pPr>
              <w:autoSpaceDE w:val="0"/>
              <w:autoSpaceDN w:val="0"/>
              <w:adjustRightInd w:val="0"/>
              <w:spacing w:after="0" w:line="240" w:lineRule="atLeast"/>
              <w:jc w:val="center"/>
              <w:rPr>
                <w:rFonts w:ascii="Arial" w:eastAsia="Calibri" w:hAnsi="Arial" w:cs="Arial"/>
                <w:sz w:val="20"/>
                <w:szCs w:val="20"/>
                <w:lang w:val="sr-Latn-ME"/>
              </w:rPr>
            </w:pPr>
            <w:r w:rsidRPr="003341AF">
              <w:rPr>
                <w:rFonts w:ascii="Arial" w:eastAsia="Calibri" w:hAnsi="Arial" w:cs="Arial"/>
                <w:sz w:val="20"/>
                <w:szCs w:val="20"/>
                <w:lang w:val="sr-Latn-ME"/>
              </w:rPr>
              <w:t>Operativni, finansijski,</w:t>
            </w:r>
          </w:p>
          <w:p w:rsidR="001B2128" w:rsidRPr="003341AF" w:rsidRDefault="001B2128" w:rsidP="00291635">
            <w:pPr>
              <w:autoSpaceDE w:val="0"/>
              <w:autoSpaceDN w:val="0"/>
              <w:adjustRightInd w:val="0"/>
              <w:spacing w:after="0" w:line="240" w:lineRule="atLeast"/>
              <w:jc w:val="center"/>
              <w:rPr>
                <w:rFonts w:ascii="Arial" w:eastAsia="Calibri" w:hAnsi="Arial" w:cs="Arial"/>
                <w:sz w:val="20"/>
                <w:szCs w:val="20"/>
                <w:lang w:val="sr-Latn-ME"/>
              </w:rPr>
            </w:pPr>
            <w:r w:rsidRPr="003341AF">
              <w:rPr>
                <w:rFonts w:ascii="Arial" w:eastAsia="Calibri" w:hAnsi="Arial" w:cs="Arial"/>
                <w:sz w:val="20"/>
                <w:szCs w:val="20"/>
                <w:lang w:val="sr-Latn-ME"/>
              </w:rPr>
              <w:t>zakonski</w:t>
            </w:r>
          </w:p>
        </w:tc>
        <w:tc>
          <w:tcPr>
            <w:tcW w:w="708" w:type="dxa"/>
            <w:tcBorders>
              <w:top w:val="single" w:sz="4" w:space="0" w:color="auto"/>
              <w:bottom w:val="single" w:sz="4" w:space="0" w:color="auto"/>
              <w:right w:val="single" w:sz="4" w:space="0" w:color="auto"/>
            </w:tcBorders>
            <w:shd w:val="clear" w:color="auto" w:fill="auto"/>
            <w:vAlign w:val="center"/>
          </w:tcPr>
          <w:p w:rsidR="001B2128" w:rsidRPr="003341AF" w:rsidRDefault="001B2128" w:rsidP="00291635">
            <w:pPr>
              <w:spacing w:after="0" w:line="240" w:lineRule="auto"/>
              <w:jc w:val="center"/>
              <w:rPr>
                <w:rFonts w:ascii="Arial" w:eastAsia="Times New Roman" w:hAnsi="Arial" w:cs="Arial"/>
                <w:bCs/>
                <w:sz w:val="20"/>
                <w:szCs w:val="20"/>
                <w:lang w:val="sr-Latn-ME"/>
              </w:rPr>
            </w:pPr>
            <w:r w:rsidRPr="003341AF">
              <w:rPr>
                <w:rFonts w:ascii="Arial" w:eastAsia="Times New Roman" w:hAnsi="Arial" w:cs="Arial"/>
                <w:bCs/>
                <w:sz w:val="20"/>
                <w:szCs w:val="20"/>
                <w:lang w:val="sr-Latn-ME"/>
              </w:rPr>
              <w:t>5</w:t>
            </w:r>
          </w:p>
        </w:tc>
        <w:tc>
          <w:tcPr>
            <w:tcW w:w="11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2128" w:rsidRPr="003341AF" w:rsidRDefault="001B2128" w:rsidP="00291635">
            <w:pPr>
              <w:spacing w:after="0" w:line="240" w:lineRule="auto"/>
              <w:jc w:val="center"/>
              <w:rPr>
                <w:rFonts w:ascii="Arial" w:eastAsia="Times New Roman" w:hAnsi="Arial" w:cs="Arial"/>
                <w:bCs/>
                <w:sz w:val="20"/>
                <w:szCs w:val="20"/>
                <w:lang w:val="sr-Latn-ME"/>
              </w:rPr>
            </w:pPr>
            <w:r w:rsidRPr="003341AF">
              <w:rPr>
                <w:rFonts w:ascii="Arial" w:eastAsia="Times New Roman" w:hAnsi="Arial" w:cs="Arial"/>
                <w:bCs/>
                <w:sz w:val="20"/>
                <w:szCs w:val="20"/>
                <w:lang w:val="sr-Latn-ME"/>
              </w:rPr>
              <w:t>5</w:t>
            </w:r>
          </w:p>
        </w:tc>
        <w:tc>
          <w:tcPr>
            <w:tcW w:w="709" w:type="dxa"/>
            <w:tcBorders>
              <w:top w:val="single" w:sz="4" w:space="0" w:color="auto"/>
              <w:left w:val="single" w:sz="4" w:space="0" w:color="auto"/>
              <w:bottom w:val="single" w:sz="4" w:space="0" w:color="auto"/>
            </w:tcBorders>
            <w:shd w:val="clear" w:color="auto" w:fill="auto"/>
            <w:vAlign w:val="center"/>
          </w:tcPr>
          <w:p w:rsidR="001B2128" w:rsidRPr="003341AF" w:rsidRDefault="001B2128" w:rsidP="00291635">
            <w:pPr>
              <w:spacing w:after="0" w:line="240" w:lineRule="auto"/>
              <w:jc w:val="center"/>
              <w:rPr>
                <w:rFonts w:ascii="Arial" w:eastAsia="Times New Roman" w:hAnsi="Arial" w:cs="Arial"/>
                <w:bCs/>
                <w:sz w:val="20"/>
                <w:szCs w:val="20"/>
                <w:lang w:val="sr-Latn-ME"/>
              </w:rPr>
            </w:pPr>
            <w:r w:rsidRPr="003341AF">
              <w:rPr>
                <w:rFonts w:ascii="Arial" w:eastAsia="Times New Roman" w:hAnsi="Arial" w:cs="Arial"/>
                <w:bCs/>
                <w:sz w:val="20"/>
                <w:szCs w:val="20"/>
                <w:lang w:val="sr-Latn-ME"/>
              </w:rPr>
              <w:t>25</w:t>
            </w:r>
          </w:p>
        </w:tc>
        <w:tc>
          <w:tcPr>
            <w:tcW w:w="1984" w:type="dxa"/>
            <w:vAlign w:val="center"/>
          </w:tcPr>
          <w:p w:rsidR="001B2128" w:rsidRPr="003341AF" w:rsidRDefault="001B2128" w:rsidP="00291635">
            <w:pPr>
              <w:autoSpaceDE w:val="0"/>
              <w:autoSpaceDN w:val="0"/>
              <w:adjustRightInd w:val="0"/>
              <w:spacing w:after="0" w:line="240" w:lineRule="auto"/>
              <w:jc w:val="both"/>
              <w:rPr>
                <w:rFonts w:ascii="Arial" w:eastAsia="Calibri" w:hAnsi="Arial" w:cs="Arial"/>
                <w:sz w:val="20"/>
                <w:szCs w:val="20"/>
                <w:lang w:val="sr-Latn-ME"/>
              </w:rPr>
            </w:pPr>
            <w:r w:rsidRPr="003341AF">
              <w:rPr>
                <w:rFonts w:ascii="Arial" w:eastAsia="Calibri" w:hAnsi="Arial" w:cs="Arial"/>
                <w:sz w:val="20"/>
                <w:szCs w:val="20"/>
                <w:lang w:val="sr-Latn-ME"/>
              </w:rPr>
              <w:t>Zakona o zaradama zaposlenih u javnom sektoru Zakon o budžetu i fiskalnoj odgovornosti</w:t>
            </w:r>
          </w:p>
          <w:p w:rsidR="001B2128" w:rsidRPr="003341AF" w:rsidRDefault="001B2128" w:rsidP="00291635">
            <w:pPr>
              <w:autoSpaceDE w:val="0"/>
              <w:autoSpaceDN w:val="0"/>
              <w:adjustRightInd w:val="0"/>
              <w:spacing w:after="0" w:line="240" w:lineRule="auto"/>
              <w:jc w:val="both"/>
              <w:rPr>
                <w:rFonts w:ascii="Arial" w:eastAsia="Calibri" w:hAnsi="Arial" w:cs="Arial"/>
                <w:sz w:val="20"/>
                <w:szCs w:val="20"/>
                <w:lang w:val="sr-Latn-ME"/>
              </w:rPr>
            </w:pPr>
          </w:p>
          <w:p w:rsidR="001B2128" w:rsidRPr="003341AF" w:rsidRDefault="001B2128" w:rsidP="00291635">
            <w:pPr>
              <w:autoSpaceDE w:val="0"/>
              <w:autoSpaceDN w:val="0"/>
              <w:adjustRightInd w:val="0"/>
              <w:spacing w:after="0" w:line="240" w:lineRule="auto"/>
              <w:jc w:val="both"/>
              <w:rPr>
                <w:rFonts w:ascii="Arial" w:eastAsia="Calibri" w:hAnsi="Arial" w:cs="Arial"/>
                <w:sz w:val="20"/>
                <w:szCs w:val="20"/>
                <w:lang w:val="sr-Latn-ME"/>
              </w:rPr>
            </w:pPr>
            <w:r w:rsidRPr="003341AF">
              <w:rPr>
                <w:rFonts w:ascii="Arial" w:eastAsia="Calibri" w:hAnsi="Arial" w:cs="Arial"/>
                <w:sz w:val="20"/>
                <w:szCs w:val="20"/>
                <w:lang w:val="sr-Latn-ME"/>
              </w:rPr>
              <w:t>Pravilnik o izradi zahtjeva za dodjelu budžetskih sredstava</w:t>
            </w:r>
          </w:p>
          <w:p w:rsidR="001B2128" w:rsidRPr="003341AF" w:rsidRDefault="001B2128" w:rsidP="00291635">
            <w:pPr>
              <w:autoSpaceDE w:val="0"/>
              <w:autoSpaceDN w:val="0"/>
              <w:adjustRightInd w:val="0"/>
              <w:spacing w:after="0" w:line="240" w:lineRule="auto"/>
              <w:jc w:val="both"/>
              <w:rPr>
                <w:rFonts w:ascii="Arial" w:eastAsia="Calibri" w:hAnsi="Arial" w:cs="Arial"/>
                <w:sz w:val="20"/>
                <w:szCs w:val="20"/>
                <w:lang w:val="sr-Latn-ME"/>
              </w:rPr>
            </w:pPr>
          </w:p>
          <w:p w:rsidR="001B2128" w:rsidRPr="003341AF" w:rsidRDefault="001B2128" w:rsidP="00291635">
            <w:pPr>
              <w:autoSpaceDE w:val="0"/>
              <w:autoSpaceDN w:val="0"/>
              <w:adjustRightInd w:val="0"/>
              <w:spacing w:after="0" w:line="240" w:lineRule="auto"/>
              <w:jc w:val="both"/>
              <w:rPr>
                <w:rFonts w:ascii="Arial" w:eastAsia="Calibri" w:hAnsi="Arial" w:cs="Arial"/>
                <w:color w:val="000000"/>
                <w:sz w:val="20"/>
                <w:szCs w:val="20"/>
                <w:lang w:val="sr-Latn-ME"/>
              </w:rPr>
            </w:pPr>
            <w:r w:rsidRPr="003341AF">
              <w:rPr>
                <w:rFonts w:ascii="Arial" w:eastAsia="Calibri" w:hAnsi="Arial" w:cs="Arial"/>
                <w:sz w:val="20"/>
                <w:szCs w:val="20"/>
                <w:lang w:val="sr-Latn-ME"/>
              </w:rPr>
              <w:t>Smjernice Ministarstva finansija</w:t>
            </w:r>
          </w:p>
        </w:tc>
        <w:tc>
          <w:tcPr>
            <w:tcW w:w="2410" w:type="dxa"/>
            <w:shd w:val="clear" w:color="auto" w:fill="auto"/>
            <w:vAlign w:val="center"/>
          </w:tcPr>
          <w:p w:rsidR="001B2128" w:rsidRPr="003341AF" w:rsidRDefault="001B2128" w:rsidP="00291635">
            <w:pPr>
              <w:autoSpaceDE w:val="0"/>
              <w:autoSpaceDN w:val="0"/>
              <w:adjustRightInd w:val="0"/>
              <w:spacing w:after="0" w:line="240" w:lineRule="auto"/>
              <w:jc w:val="both"/>
              <w:rPr>
                <w:rFonts w:ascii="Arial" w:eastAsia="Calibri" w:hAnsi="Arial" w:cs="Arial"/>
                <w:sz w:val="20"/>
                <w:szCs w:val="20"/>
                <w:lang w:val="sr-Latn-ME"/>
              </w:rPr>
            </w:pPr>
          </w:p>
          <w:p w:rsidR="001B2128" w:rsidRPr="003341AF" w:rsidRDefault="001B2128" w:rsidP="00291635">
            <w:pPr>
              <w:autoSpaceDE w:val="0"/>
              <w:autoSpaceDN w:val="0"/>
              <w:adjustRightInd w:val="0"/>
              <w:spacing w:after="0" w:line="240" w:lineRule="auto"/>
              <w:rPr>
                <w:rFonts w:ascii="Arial" w:eastAsia="Calibri" w:hAnsi="Arial" w:cs="Arial"/>
                <w:sz w:val="20"/>
                <w:szCs w:val="20"/>
                <w:lang w:val="sr-Latn-ME"/>
              </w:rPr>
            </w:pPr>
            <w:r w:rsidRPr="003341AF">
              <w:rPr>
                <w:rFonts w:ascii="Arial" w:eastAsia="Calibri" w:hAnsi="Arial" w:cs="Arial"/>
                <w:sz w:val="20"/>
                <w:szCs w:val="20"/>
                <w:lang w:val="sr-Latn-ME"/>
              </w:rPr>
              <w:t>Nakon izmjene zakona obratiti se MF za rebalans budžeta</w:t>
            </w:r>
          </w:p>
          <w:p w:rsidR="001B2128" w:rsidRPr="003341AF" w:rsidRDefault="001B2128" w:rsidP="00291635">
            <w:pPr>
              <w:autoSpaceDE w:val="0"/>
              <w:autoSpaceDN w:val="0"/>
              <w:adjustRightInd w:val="0"/>
              <w:spacing w:after="0" w:line="240" w:lineRule="auto"/>
              <w:rPr>
                <w:rFonts w:ascii="Arial" w:eastAsia="Calibri" w:hAnsi="Arial" w:cs="Arial"/>
                <w:sz w:val="20"/>
                <w:szCs w:val="20"/>
                <w:lang w:val="sr-Latn-ME"/>
              </w:rPr>
            </w:pPr>
          </w:p>
          <w:p w:rsidR="001B2128" w:rsidRPr="003341AF" w:rsidRDefault="001B2128" w:rsidP="00291635">
            <w:pPr>
              <w:autoSpaceDE w:val="0"/>
              <w:autoSpaceDN w:val="0"/>
              <w:adjustRightInd w:val="0"/>
              <w:spacing w:after="0" w:line="240" w:lineRule="auto"/>
              <w:rPr>
                <w:rFonts w:ascii="Arial" w:eastAsia="Calibri" w:hAnsi="Arial" w:cs="Arial"/>
                <w:sz w:val="20"/>
                <w:szCs w:val="20"/>
                <w:lang w:val="sr-Latn-ME"/>
              </w:rPr>
            </w:pPr>
          </w:p>
          <w:p w:rsidR="001B2128" w:rsidRPr="003341AF" w:rsidRDefault="001B2128" w:rsidP="00291635">
            <w:pPr>
              <w:autoSpaceDE w:val="0"/>
              <w:autoSpaceDN w:val="0"/>
              <w:adjustRightInd w:val="0"/>
              <w:spacing w:after="0" w:line="240" w:lineRule="auto"/>
              <w:rPr>
                <w:rFonts w:ascii="Arial" w:eastAsia="Calibri" w:hAnsi="Arial" w:cs="Arial"/>
                <w:sz w:val="20"/>
                <w:szCs w:val="20"/>
                <w:lang w:val="sr-Latn-ME"/>
              </w:rPr>
            </w:pPr>
          </w:p>
          <w:p w:rsidR="001B2128" w:rsidRPr="003341AF" w:rsidRDefault="001B2128" w:rsidP="00291635">
            <w:pPr>
              <w:autoSpaceDE w:val="0"/>
              <w:autoSpaceDN w:val="0"/>
              <w:adjustRightInd w:val="0"/>
              <w:spacing w:after="0" w:line="240" w:lineRule="auto"/>
              <w:rPr>
                <w:rFonts w:ascii="Arial" w:eastAsia="Calibri" w:hAnsi="Arial" w:cs="Arial"/>
                <w:sz w:val="20"/>
                <w:szCs w:val="20"/>
                <w:lang w:val="sr-Latn-ME"/>
              </w:rPr>
            </w:pPr>
            <w:r w:rsidRPr="003341AF">
              <w:rPr>
                <w:rFonts w:ascii="Arial" w:eastAsia="Calibri" w:hAnsi="Arial" w:cs="Arial"/>
                <w:sz w:val="20"/>
                <w:szCs w:val="20"/>
                <w:lang w:val="sr-Latn-ME"/>
              </w:rPr>
              <w:t xml:space="preserve">Sačiniti obrazloženje adekvatno potrebama Zavoda </w:t>
            </w:r>
          </w:p>
          <w:p w:rsidR="001B2128" w:rsidRPr="003341AF" w:rsidRDefault="001B2128" w:rsidP="00291635">
            <w:pPr>
              <w:autoSpaceDE w:val="0"/>
              <w:autoSpaceDN w:val="0"/>
              <w:adjustRightInd w:val="0"/>
              <w:spacing w:after="0" w:line="240" w:lineRule="auto"/>
              <w:jc w:val="both"/>
              <w:rPr>
                <w:rFonts w:ascii="Arial" w:eastAsia="Calibri" w:hAnsi="Arial" w:cs="Arial"/>
                <w:sz w:val="20"/>
                <w:szCs w:val="20"/>
                <w:lang w:val="sr-Latn-ME"/>
              </w:rPr>
            </w:pPr>
          </w:p>
          <w:p w:rsidR="001B2128" w:rsidRPr="003341AF" w:rsidRDefault="001B2128" w:rsidP="00291635">
            <w:pPr>
              <w:autoSpaceDE w:val="0"/>
              <w:autoSpaceDN w:val="0"/>
              <w:adjustRightInd w:val="0"/>
              <w:spacing w:after="0" w:line="240" w:lineRule="auto"/>
              <w:jc w:val="both"/>
              <w:rPr>
                <w:rFonts w:ascii="Arial" w:eastAsia="Calibri" w:hAnsi="Arial" w:cs="Arial"/>
                <w:sz w:val="20"/>
                <w:szCs w:val="20"/>
                <w:lang w:val="sr-Latn-ME"/>
              </w:rPr>
            </w:pPr>
            <w:r w:rsidRPr="003341AF">
              <w:rPr>
                <w:rFonts w:ascii="Arial" w:eastAsia="Calibri" w:hAnsi="Arial" w:cs="Arial"/>
                <w:sz w:val="20"/>
                <w:szCs w:val="20"/>
                <w:lang w:val="sr-Latn-ME"/>
              </w:rPr>
              <w:t>Upoznavanje zaposlenih sa propisima</w:t>
            </w:r>
          </w:p>
          <w:p w:rsidR="001B2128" w:rsidRPr="003341AF" w:rsidRDefault="001B2128" w:rsidP="00291635">
            <w:pPr>
              <w:autoSpaceDE w:val="0"/>
              <w:autoSpaceDN w:val="0"/>
              <w:adjustRightInd w:val="0"/>
              <w:spacing w:after="0" w:line="240" w:lineRule="auto"/>
              <w:jc w:val="both"/>
              <w:rPr>
                <w:rFonts w:ascii="Arial" w:eastAsia="Calibri" w:hAnsi="Arial" w:cs="Arial"/>
                <w:sz w:val="20"/>
                <w:szCs w:val="20"/>
                <w:lang w:val="sr-Latn-ME"/>
              </w:rPr>
            </w:pPr>
          </w:p>
          <w:p w:rsidR="001B2128" w:rsidRPr="003341AF" w:rsidRDefault="001B2128" w:rsidP="00291635">
            <w:pPr>
              <w:autoSpaceDE w:val="0"/>
              <w:autoSpaceDN w:val="0"/>
              <w:adjustRightInd w:val="0"/>
              <w:spacing w:after="0" w:line="240" w:lineRule="auto"/>
              <w:jc w:val="both"/>
              <w:rPr>
                <w:rFonts w:ascii="Arial" w:eastAsia="Calibri" w:hAnsi="Arial" w:cs="Arial"/>
                <w:sz w:val="20"/>
                <w:szCs w:val="20"/>
                <w:lang w:val="sr-Latn-ME"/>
              </w:rPr>
            </w:pPr>
            <w:r w:rsidRPr="003341AF">
              <w:rPr>
                <w:rFonts w:ascii="Arial" w:eastAsia="Calibri" w:hAnsi="Arial" w:cs="Arial"/>
                <w:sz w:val="20"/>
                <w:szCs w:val="20"/>
                <w:lang w:val="sr-Latn-ME"/>
              </w:rPr>
              <w:t>Uspostaviti dobru komunikaciju između organizacionih jedinica</w:t>
            </w:r>
          </w:p>
          <w:p w:rsidR="001B2128" w:rsidRPr="003341AF" w:rsidRDefault="001B2128" w:rsidP="00291635">
            <w:pPr>
              <w:autoSpaceDE w:val="0"/>
              <w:autoSpaceDN w:val="0"/>
              <w:adjustRightInd w:val="0"/>
              <w:spacing w:after="0" w:line="240" w:lineRule="auto"/>
              <w:jc w:val="both"/>
              <w:rPr>
                <w:rFonts w:ascii="Arial" w:eastAsia="Calibri" w:hAnsi="Arial" w:cs="Arial"/>
                <w:sz w:val="20"/>
                <w:szCs w:val="20"/>
                <w:lang w:val="sr-Latn-ME"/>
              </w:rPr>
            </w:pPr>
          </w:p>
          <w:p w:rsidR="001B2128" w:rsidRPr="003341AF" w:rsidRDefault="001B2128" w:rsidP="00291635">
            <w:pPr>
              <w:autoSpaceDE w:val="0"/>
              <w:autoSpaceDN w:val="0"/>
              <w:adjustRightInd w:val="0"/>
              <w:spacing w:after="0" w:line="240" w:lineRule="auto"/>
              <w:jc w:val="both"/>
              <w:rPr>
                <w:rFonts w:ascii="Arial" w:eastAsia="Calibri" w:hAnsi="Arial" w:cs="Arial"/>
                <w:color w:val="000000"/>
                <w:sz w:val="20"/>
                <w:szCs w:val="20"/>
                <w:lang w:val="sr-Latn-ME"/>
              </w:rPr>
            </w:pPr>
          </w:p>
        </w:tc>
        <w:tc>
          <w:tcPr>
            <w:tcW w:w="1701" w:type="dxa"/>
            <w:shd w:val="clear" w:color="auto" w:fill="auto"/>
            <w:vAlign w:val="center"/>
          </w:tcPr>
          <w:p w:rsidR="001B2128" w:rsidRPr="003341AF" w:rsidRDefault="001B2128" w:rsidP="00291635">
            <w:pPr>
              <w:spacing w:after="0" w:line="240" w:lineRule="auto"/>
              <w:jc w:val="both"/>
              <w:rPr>
                <w:rFonts w:ascii="Arial" w:eastAsia="Calibri" w:hAnsi="Arial" w:cs="Arial"/>
                <w:sz w:val="20"/>
                <w:szCs w:val="20"/>
                <w:lang w:val="sr-Latn-ME"/>
              </w:rPr>
            </w:pPr>
            <w:r w:rsidRPr="003341AF">
              <w:rPr>
                <w:rFonts w:ascii="Arial" w:eastAsia="Calibri" w:hAnsi="Arial" w:cs="Arial"/>
                <w:sz w:val="20"/>
                <w:szCs w:val="20"/>
                <w:lang w:val="sr-Latn-ME"/>
              </w:rPr>
              <w:t>Direktor</w:t>
            </w:r>
          </w:p>
          <w:p w:rsidR="001B2128" w:rsidRPr="003341AF" w:rsidRDefault="001B2128" w:rsidP="00291635">
            <w:pPr>
              <w:spacing w:after="0" w:line="240" w:lineRule="auto"/>
              <w:jc w:val="both"/>
              <w:rPr>
                <w:rFonts w:ascii="Arial" w:eastAsia="Calibri" w:hAnsi="Arial" w:cs="Arial"/>
                <w:sz w:val="20"/>
                <w:szCs w:val="20"/>
                <w:lang w:val="sr-Latn-ME"/>
              </w:rPr>
            </w:pPr>
          </w:p>
          <w:p w:rsidR="001B2128" w:rsidRPr="003341AF" w:rsidRDefault="001B2128" w:rsidP="00291635">
            <w:pPr>
              <w:spacing w:after="0" w:line="240" w:lineRule="auto"/>
              <w:jc w:val="both"/>
              <w:rPr>
                <w:rFonts w:ascii="Arial" w:eastAsia="Calibri" w:hAnsi="Arial" w:cs="Arial"/>
                <w:i/>
                <w:color w:val="FF0000"/>
                <w:sz w:val="20"/>
                <w:szCs w:val="20"/>
                <w:lang w:val="sr-Latn-ME"/>
              </w:rPr>
            </w:pPr>
            <w:r w:rsidRPr="003341AF">
              <w:rPr>
                <w:rFonts w:ascii="Arial" w:eastAsia="Calibri" w:hAnsi="Arial" w:cs="Arial"/>
                <w:sz w:val="20"/>
                <w:szCs w:val="20"/>
                <w:lang w:val="sr-Latn-ME"/>
              </w:rPr>
              <w:t>Načelnici  organizacionih jedinica</w:t>
            </w:r>
          </w:p>
        </w:tc>
        <w:tc>
          <w:tcPr>
            <w:tcW w:w="1531" w:type="dxa"/>
            <w:shd w:val="clear" w:color="auto" w:fill="auto"/>
            <w:vAlign w:val="center"/>
          </w:tcPr>
          <w:p w:rsidR="001B2128" w:rsidRPr="003341AF" w:rsidRDefault="001B2128" w:rsidP="00291635">
            <w:pPr>
              <w:spacing w:line="360" w:lineRule="auto"/>
              <w:jc w:val="both"/>
              <w:rPr>
                <w:rFonts w:ascii="Arial" w:eastAsia="Calibri" w:hAnsi="Arial" w:cs="Arial"/>
                <w:sz w:val="20"/>
                <w:szCs w:val="20"/>
                <w:lang w:val="sr-Latn-ME"/>
              </w:rPr>
            </w:pPr>
            <w:r w:rsidRPr="003341AF">
              <w:rPr>
                <w:rFonts w:ascii="Arial" w:eastAsia="Calibri" w:hAnsi="Arial" w:cs="Arial"/>
                <w:sz w:val="20"/>
                <w:szCs w:val="20"/>
                <w:lang w:val="sr-Latn-ME"/>
              </w:rPr>
              <w:t xml:space="preserve">III  kvartal </w:t>
            </w:r>
          </w:p>
        </w:tc>
      </w:tr>
      <w:tr w:rsidR="001B2128" w:rsidRPr="003341AF" w:rsidTr="00291635">
        <w:trPr>
          <w:cantSplit/>
          <w:trHeight w:val="2070"/>
        </w:trPr>
        <w:tc>
          <w:tcPr>
            <w:tcW w:w="568" w:type="dxa"/>
            <w:shd w:val="clear" w:color="auto" w:fill="auto"/>
            <w:vAlign w:val="center"/>
          </w:tcPr>
          <w:p w:rsidR="001B2128" w:rsidRPr="003341AF" w:rsidRDefault="001B2128" w:rsidP="00291635">
            <w:pPr>
              <w:spacing w:after="0" w:line="360" w:lineRule="auto"/>
              <w:jc w:val="center"/>
              <w:rPr>
                <w:rFonts w:ascii="Arial" w:eastAsia="Times New Roman" w:hAnsi="Arial" w:cs="Arial"/>
                <w:bCs/>
                <w:sz w:val="20"/>
                <w:szCs w:val="20"/>
                <w:lang w:val="sr-Latn-ME"/>
              </w:rPr>
            </w:pPr>
            <w:r w:rsidRPr="003341AF">
              <w:rPr>
                <w:rFonts w:ascii="Arial" w:eastAsia="Times New Roman" w:hAnsi="Arial" w:cs="Arial"/>
                <w:bCs/>
                <w:sz w:val="20"/>
                <w:szCs w:val="20"/>
                <w:lang w:val="sr-Latn-ME"/>
              </w:rPr>
              <w:lastRenderedPageBreak/>
              <w:t>2.</w:t>
            </w:r>
          </w:p>
        </w:tc>
        <w:tc>
          <w:tcPr>
            <w:tcW w:w="2238" w:type="dxa"/>
            <w:shd w:val="clear" w:color="auto" w:fill="auto"/>
            <w:vAlign w:val="center"/>
          </w:tcPr>
          <w:p w:rsidR="001B2128" w:rsidRPr="003341AF" w:rsidRDefault="001B2128" w:rsidP="00291635">
            <w:pPr>
              <w:autoSpaceDE w:val="0"/>
              <w:autoSpaceDN w:val="0"/>
              <w:adjustRightInd w:val="0"/>
              <w:spacing w:after="0" w:line="240" w:lineRule="auto"/>
              <w:jc w:val="both"/>
              <w:rPr>
                <w:rFonts w:ascii="Arial" w:eastAsia="Calibri" w:hAnsi="Arial" w:cs="Arial"/>
                <w:color w:val="000000"/>
                <w:sz w:val="20"/>
                <w:szCs w:val="20"/>
                <w:lang w:val="sr-Latn-ME"/>
              </w:rPr>
            </w:pPr>
            <w:r w:rsidRPr="003341AF">
              <w:rPr>
                <w:rFonts w:ascii="Arial" w:eastAsia="Calibri" w:hAnsi="Arial" w:cs="Arial"/>
                <w:sz w:val="20"/>
                <w:szCs w:val="20"/>
                <w:lang w:val="sr-Latn-ME"/>
              </w:rPr>
              <w:t>Nenamjenska potrošnja opredijeljenih budžetskih sredstava u skladu sa pozicijama</w:t>
            </w:r>
          </w:p>
        </w:tc>
        <w:tc>
          <w:tcPr>
            <w:tcW w:w="1843" w:type="dxa"/>
            <w:shd w:val="clear" w:color="auto" w:fill="auto"/>
            <w:vAlign w:val="center"/>
          </w:tcPr>
          <w:p w:rsidR="001B2128" w:rsidRPr="003341AF" w:rsidRDefault="001B2128" w:rsidP="00291635">
            <w:pPr>
              <w:autoSpaceDE w:val="0"/>
              <w:autoSpaceDN w:val="0"/>
              <w:adjustRightInd w:val="0"/>
              <w:spacing w:after="0" w:line="240" w:lineRule="atLeast"/>
              <w:jc w:val="center"/>
              <w:rPr>
                <w:rFonts w:ascii="Arial" w:eastAsia="Calibri" w:hAnsi="Arial" w:cs="Arial"/>
                <w:sz w:val="20"/>
                <w:szCs w:val="20"/>
                <w:lang w:val="sr-Latn-ME"/>
              </w:rPr>
            </w:pPr>
            <w:r w:rsidRPr="003341AF">
              <w:rPr>
                <w:rFonts w:ascii="Arial" w:eastAsia="Calibri" w:hAnsi="Arial" w:cs="Arial"/>
                <w:sz w:val="20"/>
                <w:szCs w:val="20"/>
                <w:lang w:val="sr-Latn-ME"/>
              </w:rPr>
              <w:t>Finansijski,</w:t>
            </w:r>
          </w:p>
          <w:p w:rsidR="001B2128" w:rsidRPr="003341AF" w:rsidRDefault="001B2128" w:rsidP="00291635">
            <w:pPr>
              <w:autoSpaceDE w:val="0"/>
              <w:autoSpaceDN w:val="0"/>
              <w:adjustRightInd w:val="0"/>
              <w:spacing w:after="0" w:line="240" w:lineRule="atLeast"/>
              <w:rPr>
                <w:rFonts w:ascii="Arial" w:eastAsia="Calibri" w:hAnsi="Arial" w:cs="Arial"/>
                <w:sz w:val="20"/>
                <w:szCs w:val="20"/>
                <w:lang w:val="sr-Latn-ME"/>
              </w:rPr>
            </w:pPr>
            <w:r w:rsidRPr="003341AF">
              <w:rPr>
                <w:rFonts w:ascii="Arial" w:eastAsia="Calibri" w:hAnsi="Arial" w:cs="Arial"/>
                <w:sz w:val="20"/>
                <w:szCs w:val="20"/>
                <w:lang w:val="sr-Latn-ME"/>
              </w:rPr>
              <w:t xml:space="preserve">      zakonski</w:t>
            </w:r>
          </w:p>
        </w:tc>
        <w:tc>
          <w:tcPr>
            <w:tcW w:w="708" w:type="dxa"/>
            <w:tcBorders>
              <w:top w:val="single" w:sz="4" w:space="0" w:color="auto"/>
              <w:bottom w:val="single" w:sz="4" w:space="0" w:color="auto"/>
              <w:right w:val="single" w:sz="4" w:space="0" w:color="auto"/>
            </w:tcBorders>
            <w:shd w:val="clear" w:color="auto" w:fill="auto"/>
            <w:vAlign w:val="center"/>
          </w:tcPr>
          <w:p w:rsidR="001B2128" w:rsidRPr="003341AF" w:rsidRDefault="001B2128" w:rsidP="00291635">
            <w:pPr>
              <w:spacing w:after="0" w:line="240" w:lineRule="auto"/>
              <w:jc w:val="center"/>
              <w:rPr>
                <w:rFonts w:ascii="Arial" w:eastAsia="Times New Roman" w:hAnsi="Arial" w:cs="Arial"/>
                <w:bCs/>
                <w:sz w:val="20"/>
                <w:szCs w:val="20"/>
                <w:lang w:val="sr-Latn-ME"/>
              </w:rPr>
            </w:pPr>
            <w:r w:rsidRPr="003341AF">
              <w:rPr>
                <w:rFonts w:ascii="Arial" w:eastAsia="Times New Roman" w:hAnsi="Arial" w:cs="Arial"/>
                <w:bCs/>
                <w:sz w:val="20"/>
                <w:szCs w:val="20"/>
                <w:lang w:val="sr-Latn-ME"/>
              </w:rPr>
              <w:t>4</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1B2128" w:rsidRPr="003341AF" w:rsidRDefault="001B2128" w:rsidP="00291635">
            <w:pPr>
              <w:spacing w:after="0" w:line="240" w:lineRule="auto"/>
              <w:jc w:val="center"/>
              <w:rPr>
                <w:rFonts w:ascii="Arial" w:eastAsia="Times New Roman" w:hAnsi="Arial" w:cs="Arial"/>
                <w:bCs/>
                <w:sz w:val="20"/>
                <w:szCs w:val="20"/>
                <w:lang w:val="sr-Latn-ME"/>
              </w:rPr>
            </w:pPr>
            <w:r w:rsidRPr="003341AF">
              <w:rPr>
                <w:rFonts w:ascii="Arial" w:eastAsia="Times New Roman" w:hAnsi="Arial" w:cs="Arial"/>
                <w:bCs/>
                <w:sz w:val="20"/>
                <w:szCs w:val="20"/>
                <w:lang w:val="sr-Latn-ME"/>
              </w:rPr>
              <w:t>1</w:t>
            </w:r>
          </w:p>
        </w:tc>
        <w:tc>
          <w:tcPr>
            <w:tcW w:w="851" w:type="dxa"/>
            <w:gridSpan w:val="2"/>
            <w:tcBorders>
              <w:top w:val="single" w:sz="4" w:space="0" w:color="auto"/>
              <w:left w:val="single" w:sz="4" w:space="0" w:color="auto"/>
              <w:bottom w:val="single" w:sz="4" w:space="0" w:color="auto"/>
            </w:tcBorders>
            <w:shd w:val="clear" w:color="auto" w:fill="auto"/>
            <w:vAlign w:val="center"/>
          </w:tcPr>
          <w:p w:rsidR="001B2128" w:rsidRPr="003341AF" w:rsidRDefault="001B2128" w:rsidP="00291635">
            <w:pPr>
              <w:spacing w:after="0" w:line="240" w:lineRule="auto"/>
              <w:jc w:val="center"/>
              <w:rPr>
                <w:rFonts w:ascii="Arial" w:eastAsia="Times New Roman" w:hAnsi="Arial" w:cs="Arial"/>
                <w:bCs/>
                <w:sz w:val="20"/>
                <w:szCs w:val="20"/>
                <w:lang w:val="sr-Latn-ME"/>
              </w:rPr>
            </w:pPr>
            <w:r w:rsidRPr="003341AF">
              <w:rPr>
                <w:rFonts w:ascii="Arial" w:eastAsia="Times New Roman" w:hAnsi="Arial" w:cs="Arial"/>
                <w:bCs/>
                <w:sz w:val="20"/>
                <w:szCs w:val="20"/>
                <w:lang w:val="sr-Latn-ME"/>
              </w:rPr>
              <w:t>4</w:t>
            </w:r>
          </w:p>
        </w:tc>
        <w:tc>
          <w:tcPr>
            <w:tcW w:w="1984" w:type="dxa"/>
            <w:vAlign w:val="center"/>
          </w:tcPr>
          <w:p w:rsidR="001B2128" w:rsidRPr="003341AF" w:rsidRDefault="001B2128" w:rsidP="00291635">
            <w:pPr>
              <w:autoSpaceDE w:val="0"/>
              <w:autoSpaceDN w:val="0"/>
              <w:adjustRightInd w:val="0"/>
              <w:spacing w:after="0" w:line="240" w:lineRule="auto"/>
              <w:jc w:val="both"/>
              <w:rPr>
                <w:rFonts w:ascii="Arial" w:eastAsia="Calibri" w:hAnsi="Arial" w:cs="Arial"/>
                <w:sz w:val="20"/>
                <w:szCs w:val="20"/>
                <w:lang w:val="sr-Latn-ME"/>
              </w:rPr>
            </w:pPr>
            <w:r w:rsidRPr="003341AF">
              <w:rPr>
                <w:rFonts w:ascii="Arial" w:eastAsia="Calibri" w:hAnsi="Arial" w:cs="Arial"/>
                <w:sz w:val="20"/>
                <w:szCs w:val="20"/>
                <w:lang w:val="sr-Latn-ME"/>
              </w:rPr>
              <w:t>Zakon o budžetu</w:t>
            </w:r>
          </w:p>
          <w:p w:rsidR="001B2128" w:rsidRPr="003341AF" w:rsidRDefault="001B2128" w:rsidP="00291635">
            <w:pPr>
              <w:autoSpaceDE w:val="0"/>
              <w:autoSpaceDN w:val="0"/>
              <w:adjustRightInd w:val="0"/>
              <w:spacing w:after="0" w:line="240" w:lineRule="auto"/>
              <w:jc w:val="both"/>
              <w:rPr>
                <w:rFonts w:ascii="Arial" w:eastAsia="Calibri" w:hAnsi="Arial" w:cs="Arial"/>
                <w:sz w:val="20"/>
                <w:szCs w:val="20"/>
                <w:lang w:val="sr-Latn-ME"/>
              </w:rPr>
            </w:pPr>
          </w:p>
          <w:p w:rsidR="001B2128" w:rsidRPr="003341AF" w:rsidRDefault="001B2128" w:rsidP="00291635">
            <w:pPr>
              <w:autoSpaceDE w:val="0"/>
              <w:autoSpaceDN w:val="0"/>
              <w:adjustRightInd w:val="0"/>
              <w:spacing w:after="0" w:line="240" w:lineRule="auto"/>
              <w:jc w:val="both"/>
              <w:rPr>
                <w:rFonts w:ascii="Arial" w:eastAsia="Calibri" w:hAnsi="Arial" w:cs="Arial"/>
                <w:sz w:val="20"/>
                <w:szCs w:val="20"/>
                <w:lang w:val="sr-Latn-ME"/>
              </w:rPr>
            </w:pPr>
            <w:r w:rsidRPr="003341AF">
              <w:rPr>
                <w:rFonts w:ascii="Arial" w:eastAsia="Calibri" w:hAnsi="Arial" w:cs="Arial"/>
                <w:sz w:val="20"/>
                <w:szCs w:val="20"/>
                <w:lang w:val="sr-Latn-ME"/>
              </w:rPr>
              <w:t>Uputstvo o radu Državnog trezora</w:t>
            </w:r>
          </w:p>
          <w:p w:rsidR="001B2128" w:rsidRPr="003341AF" w:rsidRDefault="001B2128" w:rsidP="00291635">
            <w:pPr>
              <w:autoSpaceDE w:val="0"/>
              <w:autoSpaceDN w:val="0"/>
              <w:adjustRightInd w:val="0"/>
              <w:spacing w:after="0" w:line="240" w:lineRule="auto"/>
              <w:jc w:val="both"/>
              <w:rPr>
                <w:rFonts w:ascii="Arial" w:eastAsia="Calibri" w:hAnsi="Arial" w:cs="Arial"/>
                <w:sz w:val="20"/>
                <w:szCs w:val="20"/>
                <w:lang w:val="sr-Latn-ME"/>
              </w:rPr>
            </w:pPr>
          </w:p>
          <w:p w:rsidR="001B2128" w:rsidRPr="003341AF" w:rsidRDefault="001B2128" w:rsidP="00291635">
            <w:pPr>
              <w:autoSpaceDE w:val="0"/>
              <w:autoSpaceDN w:val="0"/>
              <w:adjustRightInd w:val="0"/>
              <w:spacing w:after="0" w:line="240" w:lineRule="auto"/>
              <w:jc w:val="both"/>
              <w:rPr>
                <w:rFonts w:ascii="Arial" w:eastAsia="Calibri" w:hAnsi="Arial" w:cs="Arial"/>
                <w:color w:val="000000"/>
                <w:sz w:val="20"/>
                <w:szCs w:val="20"/>
                <w:lang w:val="sr-Latn-ME"/>
              </w:rPr>
            </w:pPr>
          </w:p>
        </w:tc>
        <w:tc>
          <w:tcPr>
            <w:tcW w:w="2410" w:type="dxa"/>
            <w:shd w:val="clear" w:color="auto" w:fill="auto"/>
            <w:vAlign w:val="center"/>
          </w:tcPr>
          <w:p w:rsidR="001B2128" w:rsidRPr="003341AF" w:rsidRDefault="001B2128" w:rsidP="00291635">
            <w:pPr>
              <w:autoSpaceDE w:val="0"/>
              <w:autoSpaceDN w:val="0"/>
              <w:adjustRightInd w:val="0"/>
              <w:spacing w:after="120" w:line="240" w:lineRule="auto"/>
              <w:jc w:val="both"/>
              <w:rPr>
                <w:rFonts w:ascii="Arial" w:eastAsia="Calibri" w:hAnsi="Arial" w:cs="Arial"/>
                <w:sz w:val="20"/>
                <w:szCs w:val="20"/>
                <w:lang w:val="sr-Latn-ME"/>
              </w:rPr>
            </w:pPr>
            <w:r w:rsidRPr="003341AF">
              <w:rPr>
                <w:rFonts w:ascii="Arial" w:eastAsia="Calibri" w:hAnsi="Arial" w:cs="Arial"/>
                <w:sz w:val="20"/>
                <w:szCs w:val="20"/>
                <w:lang w:val="sr-Latn-ME"/>
              </w:rPr>
              <w:t>Poznavanje propisa i uputstava o radu Državnog trezora</w:t>
            </w:r>
          </w:p>
          <w:p w:rsidR="001B2128" w:rsidRPr="003341AF" w:rsidRDefault="001B2128" w:rsidP="00291635">
            <w:pPr>
              <w:autoSpaceDE w:val="0"/>
              <w:autoSpaceDN w:val="0"/>
              <w:adjustRightInd w:val="0"/>
              <w:spacing w:after="0" w:line="240" w:lineRule="auto"/>
              <w:jc w:val="both"/>
              <w:rPr>
                <w:rFonts w:ascii="Arial" w:eastAsia="Calibri" w:hAnsi="Arial" w:cs="Arial"/>
                <w:color w:val="000000"/>
                <w:sz w:val="20"/>
                <w:szCs w:val="20"/>
                <w:lang w:val="sr-Latn-ME"/>
              </w:rPr>
            </w:pPr>
            <w:r w:rsidRPr="003341AF">
              <w:rPr>
                <w:rFonts w:ascii="Arial" w:eastAsia="Calibri" w:hAnsi="Arial" w:cs="Arial"/>
                <w:sz w:val="20"/>
                <w:szCs w:val="20"/>
                <w:lang w:val="sr-Latn-ME"/>
              </w:rPr>
              <w:t>Upoznati odgovorene osobe sa planom potrošnje buđžetskih sredstava</w:t>
            </w:r>
          </w:p>
        </w:tc>
        <w:tc>
          <w:tcPr>
            <w:tcW w:w="1701" w:type="dxa"/>
            <w:shd w:val="clear" w:color="auto" w:fill="auto"/>
            <w:vAlign w:val="center"/>
          </w:tcPr>
          <w:p w:rsidR="001B2128" w:rsidRPr="003341AF" w:rsidRDefault="001B2128" w:rsidP="00291635">
            <w:pPr>
              <w:spacing w:after="0" w:line="240" w:lineRule="auto"/>
              <w:jc w:val="both"/>
              <w:rPr>
                <w:rFonts w:ascii="Arial" w:eastAsia="Calibri" w:hAnsi="Arial" w:cs="Arial"/>
                <w:sz w:val="20"/>
                <w:szCs w:val="20"/>
                <w:lang w:val="sr-Latn-ME"/>
              </w:rPr>
            </w:pPr>
          </w:p>
          <w:p w:rsidR="001B2128" w:rsidRPr="003341AF" w:rsidRDefault="001B2128" w:rsidP="00291635">
            <w:pPr>
              <w:spacing w:after="0" w:line="240" w:lineRule="auto"/>
              <w:jc w:val="both"/>
              <w:rPr>
                <w:rFonts w:ascii="Arial" w:eastAsia="Calibri" w:hAnsi="Arial" w:cs="Arial"/>
                <w:sz w:val="20"/>
                <w:szCs w:val="20"/>
                <w:lang w:val="sr-Latn-ME"/>
              </w:rPr>
            </w:pPr>
            <w:r w:rsidRPr="003341AF">
              <w:rPr>
                <w:rFonts w:ascii="Arial" w:eastAsia="Calibri" w:hAnsi="Arial" w:cs="Arial"/>
                <w:sz w:val="20"/>
                <w:szCs w:val="20"/>
                <w:lang w:val="sr-Latn-ME"/>
              </w:rPr>
              <w:t>Direktor</w:t>
            </w:r>
          </w:p>
          <w:p w:rsidR="001B2128" w:rsidRPr="003341AF" w:rsidRDefault="001B2128" w:rsidP="00291635">
            <w:pPr>
              <w:spacing w:after="0" w:line="240" w:lineRule="auto"/>
              <w:jc w:val="both"/>
              <w:rPr>
                <w:rFonts w:ascii="Arial" w:eastAsia="Calibri" w:hAnsi="Arial" w:cs="Arial"/>
                <w:sz w:val="20"/>
                <w:szCs w:val="20"/>
                <w:lang w:val="sr-Latn-ME"/>
              </w:rPr>
            </w:pPr>
          </w:p>
          <w:p w:rsidR="001B2128" w:rsidRPr="003341AF" w:rsidRDefault="001B2128" w:rsidP="00291635">
            <w:pPr>
              <w:spacing w:after="0" w:line="240" w:lineRule="auto"/>
              <w:jc w:val="both"/>
              <w:rPr>
                <w:rFonts w:ascii="Arial" w:eastAsia="Calibri" w:hAnsi="Arial" w:cs="Arial"/>
                <w:sz w:val="20"/>
                <w:szCs w:val="20"/>
                <w:lang w:val="sr-Latn-ME"/>
              </w:rPr>
            </w:pPr>
            <w:r w:rsidRPr="003341AF">
              <w:rPr>
                <w:rFonts w:ascii="Arial" w:eastAsia="Calibri" w:hAnsi="Arial" w:cs="Arial"/>
                <w:sz w:val="20"/>
                <w:szCs w:val="20"/>
                <w:lang w:val="sr-Latn-ME"/>
              </w:rPr>
              <w:t>Načelnici organizacionih jedinica</w:t>
            </w:r>
          </w:p>
          <w:p w:rsidR="001B2128" w:rsidRPr="003341AF" w:rsidRDefault="001B2128" w:rsidP="00291635">
            <w:pPr>
              <w:spacing w:after="0" w:line="240" w:lineRule="auto"/>
              <w:jc w:val="both"/>
              <w:rPr>
                <w:rFonts w:ascii="Arial" w:eastAsia="Calibri" w:hAnsi="Arial" w:cs="Arial"/>
                <w:sz w:val="20"/>
                <w:szCs w:val="20"/>
                <w:lang w:val="sr-Latn-ME"/>
              </w:rPr>
            </w:pPr>
            <w:r w:rsidRPr="003341AF">
              <w:rPr>
                <w:rFonts w:ascii="Arial" w:eastAsia="Calibri" w:hAnsi="Arial" w:cs="Arial"/>
                <w:sz w:val="20"/>
                <w:szCs w:val="20"/>
                <w:lang w:val="sr-Latn-ME"/>
              </w:rPr>
              <w:t>Samostalna savjetnica III za finansijske poslove</w:t>
            </w:r>
          </w:p>
          <w:p w:rsidR="001B2128" w:rsidRPr="003341AF" w:rsidRDefault="001B2128" w:rsidP="00291635">
            <w:pPr>
              <w:spacing w:after="0" w:line="240" w:lineRule="auto"/>
              <w:jc w:val="both"/>
              <w:rPr>
                <w:rFonts w:ascii="Arial" w:eastAsia="Calibri" w:hAnsi="Arial" w:cs="Arial"/>
                <w:sz w:val="20"/>
                <w:szCs w:val="20"/>
                <w:lang w:val="sr-Latn-ME"/>
              </w:rPr>
            </w:pPr>
            <w:r w:rsidRPr="003341AF">
              <w:rPr>
                <w:rFonts w:ascii="Arial" w:eastAsia="Calibri" w:hAnsi="Arial" w:cs="Arial"/>
                <w:sz w:val="20"/>
                <w:szCs w:val="20"/>
                <w:lang w:val="sr-Latn-ME"/>
              </w:rPr>
              <w:t>Lice odgovorno za javne nabavke</w:t>
            </w:r>
          </w:p>
          <w:p w:rsidR="001B2128" w:rsidRPr="003341AF" w:rsidRDefault="001B2128" w:rsidP="00291635">
            <w:pPr>
              <w:spacing w:after="0" w:line="240" w:lineRule="auto"/>
              <w:jc w:val="both"/>
              <w:rPr>
                <w:rFonts w:ascii="Arial" w:eastAsia="Calibri" w:hAnsi="Arial" w:cs="Arial"/>
                <w:sz w:val="20"/>
                <w:szCs w:val="20"/>
                <w:highlight w:val="yellow"/>
                <w:lang w:val="sr-Latn-ME"/>
              </w:rPr>
            </w:pPr>
          </w:p>
        </w:tc>
        <w:tc>
          <w:tcPr>
            <w:tcW w:w="1531" w:type="dxa"/>
            <w:shd w:val="clear" w:color="auto" w:fill="auto"/>
            <w:vAlign w:val="center"/>
          </w:tcPr>
          <w:p w:rsidR="001B2128" w:rsidRPr="003341AF" w:rsidRDefault="001B2128" w:rsidP="00291635">
            <w:pPr>
              <w:spacing w:line="360" w:lineRule="auto"/>
              <w:jc w:val="both"/>
              <w:rPr>
                <w:rFonts w:ascii="Arial" w:eastAsia="Calibri" w:hAnsi="Arial" w:cs="Arial"/>
                <w:sz w:val="20"/>
                <w:szCs w:val="20"/>
                <w:lang w:val="sr-Latn-ME"/>
              </w:rPr>
            </w:pPr>
            <w:r w:rsidRPr="003341AF">
              <w:rPr>
                <w:rFonts w:ascii="Arial" w:eastAsia="Calibri" w:hAnsi="Arial" w:cs="Arial"/>
                <w:sz w:val="20"/>
                <w:szCs w:val="20"/>
                <w:lang w:val="sr-Latn-ME"/>
              </w:rPr>
              <w:t>Svakodnevno</w:t>
            </w:r>
          </w:p>
        </w:tc>
      </w:tr>
      <w:tr w:rsidR="001B2128" w:rsidRPr="003341AF" w:rsidTr="00291635">
        <w:trPr>
          <w:cantSplit/>
          <w:trHeight w:val="2539"/>
        </w:trPr>
        <w:tc>
          <w:tcPr>
            <w:tcW w:w="568" w:type="dxa"/>
            <w:shd w:val="clear" w:color="auto" w:fill="auto"/>
            <w:vAlign w:val="center"/>
          </w:tcPr>
          <w:p w:rsidR="001B2128" w:rsidRPr="003341AF" w:rsidRDefault="001B2128" w:rsidP="00291635">
            <w:pPr>
              <w:spacing w:after="0" w:line="360" w:lineRule="auto"/>
              <w:jc w:val="center"/>
              <w:rPr>
                <w:rFonts w:ascii="Arial" w:eastAsia="Times New Roman" w:hAnsi="Arial" w:cs="Arial"/>
                <w:bCs/>
                <w:sz w:val="20"/>
                <w:szCs w:val="20"/>
                <w:lang w:val="sr-Latn-ME"/>
              </w:rPr>
            </w:pPr>
            <w:r w:rsidRPr="003341AF">
              <w:rPr>
                <w:rFonts w:ascii="Arial" w:eastAsia="Times New Roman" w:hAnsi="Arial" w:cs="Arial"/>
                <w:bCs/>
                <w:sz w:val="20"/>
                <w:szCs w:val="20"/>
                <w:lang w:val="sr-Latn-ME"/>
              </w:rPr>
              <w:t>3.</w:t>
            </w:r>
          </w:p>
        </w:tc>
        <w:tc>
          <w:tcPr>
            <w:tcW w:w="2238" w:type="dxa"/>
            <w:shd w:val="clear" w:color="auto" w:fill="auto"/>
            <w:vAlign w:val="center"/>
          </w:tcPr>
          <w:p w:rsidR="001B2128" w:rsidRPr="003341AF" w:rsidRDefault="001B2128" w:rsidP="00291635">
            <w:pPr>
              <w:autoSpaceDE w:val="0"/>
              <w:autoSpaceDN w:val="0"/>
              <w:adjustRightInd w:val="0"/>
              <w:spacing w:after="0" w:line="240" w:lineRule="auto"/>
              <w:jc w:val="both"/>
              <w:rPr>
                <w:rFonts w:ascii="Arial" w:eastAsia="Calibri" w:hAnsi="Arial" w:cs="Arial"/>
                <w:color w:val="000000"/>
                <w:sz w:val="20"/>
                <w:szCs w:val="20"/>
                <w:lang w:val="sr-Latn-ME"/>
              </w:rPr>
            </w:pPr>
            <w:r w:rsidRPr="003341AF">
              <w:rPr>
                <w:rFonts w:ascii="Arial" w:eastAsia="Calibri" w:hAnsi="Arial" w:cs="Arial"/>
                <w:sz w:val="20"/>
                <w:szCs w:val="20"/>
                <w:lang w:val="sr-Latn-ME"/>
              </w:rPr>
              <w:t>Pogrešno pripremljeni podaci za obračun zarada</w:t>
            </w:r>
          </w:p>
        </w:tc>
        <w:tc>
          <w:tcPr>
            <w:tcW w:w="1843" w:type="dxa"/>
            <w:shd w:val="clear" w:color="auto" w:fill="auto"/>
            <w:vAlign w:val="center"/>
          </w:tcPr>
          <w:p w:rsidR="001B2128" w:rsidRPr="003341AF" w:rsidRDefault="001B2128" w:rsidP="00291635">
            <w:pPr>
              <w:autoSpaceDE w:val="0"/>
              <w:autoSpaceDN w:val="0"/>
              <w:adjustRightInd w:val="0"/>
              <w:spacing w:after="0" w:line="240" w:lineRule="atLeast"/>
              <w:jc w:val="center"/>
              <w:rPr>
                <w:rFonts w:ascii="Arial" w:eastAsia="Calibri" w:hAnsi="Arial" w:cs="Arial"/>
                <w:sz w:val="20"/>
                <w:szCs w:val="20"/>
                <w:lang w:val="sr-Latn-ME"/>
              </w:rPr>
            </w:pPr>
            <w:r w:rsidRPr="003341AF">
              <w:rPr>
                <w:rFonts w:ascii="Arial" w:eastAsia="Calibri" w:hAnsi="Arial" w:cs="Arial"/>
                <w:sz w:val="20"/>
                <w:szCs w:val="20"/>
                <w:lang w:val="sr-Latn-ME"/>
              </w:rPr>
              <w:t>Operativni,</w:t>
            </w:r>
          </w:p>
          <w:p w:rsidR="001B2128" w:rsidRPr="003341AF" w:rsidRDefault="001B2128" w:rsidP="00291635">
            <w:pPr>
              <w:autoSpaceDE w:val="0"/>
              <w:autoSpaceDN w:val="0"/>
              <w:adjustRightInd w:val="0"/>
              <w:spacing w:after="0" w:line="240" w:lineRule="atLeast"/>
              <w:rPr>
                <w:rFonts w:ascii="Arial" w:eastAsia="Calibri" w:hAnsi="Arial" w:cs="Arial"/>
                <w:sz w:val="20"/>
                <w:szCs w:val="20"/>
                <w:lang w:val="sr-Latn-ME"/>
              </w:rPr>
            </w:pPr>
            <w:r w:rsidRPr="003341AF">
              <w:rPr>
                <w:rFonts w:ascii="Arial" w:eastAsia="Calibri" w:hAnsi="Arial" w:cs="Arial"/>
                <w:sz w:val="20"/>
                <w:szCs w:val="20"/>
                <w:lang w:val="sr-Latn-ME"/>
              </w:rPr>
              <w:t xml:space="preserve">       zakonski</w:t>
            </w:r>
          </w:p>
        </w:tc>
        <w:tc>
          <w:tcPr>
            <w:tcW w:w="708" w:type="dxa"/>
            <w:tcBorders>
              <w:top w:val="single" w:sz="4" w:space="0" w:color="auto"/>
              <w:bottom w:val="single" w:sz="4" w:space="0" w:color="auto"/>
              <w:right w:val="single" w:sz="4" w:space="0" w:color="auto"/>
            </w:tcBorders>
            <w:shd w:val="clear" w:color="auto" w:fill="auto"/>
            <w:vAlign w:val="center"/>
          </w:tcPr>
          <w:p w:rsidR="001B2128" w:rsidRPr="003341AF" w:rsidRDefault="001B2128" w:rsidP="00291635">
            <w:pPr>
              <w:spacing w:after="0" w:line="240" w:lineRule="auto"/>
              <w:jc w:val="center"/>
              <w:rPr>
                <w:rFonts w:ascii="Arial" w:eastAsia="Times New Roman" w:hAnsi="Arial" w:cs="Arial"/>
                <w:bCs/>
                <w:sz w:val="20"/>
                <w:szCs w:val="20"/>
                <w:lang w:val="sr-Latn-ME"/>
              </w:rPr>
            </w:pPr>
            <w:r w:rsidRPr="003341AF">
              <w:rPr>
                <w:rFonts w:ascii="Arial" w:eastAsia="Times New Roman" w:hAnsi="Arial" w:cs="Arial"/>
                <w:bCs/>
                <w:sz w:val="20"/>
                <w:szCs w:val="20"/>
                <w:lang w:val="sr-Latn-ME"/>
              </w:rPr>
              <w:t>4</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1B2128" w:rsidRPr="003341AF" w:rsidRDefault="001B2128" w:rsidP="00291635">
            <w:pPr>
              <w:spacing w:after="0" w:line="240" w:lineRule="auto"/>
              <w:jc w:val="center"/>
              <w:rPr>
                <w:rFonts w:ascii="Arial" w:eastAsia="Times New Roman" w:hAnsi="Arial" w:cs="Arial"/>
                <w:bCs/>
                <w:sz w:val="20"/>
                <w:szCs w:val="20"/>
                <w:lang w:val="sr-Latn-ME"/>
              </w:rPr>
            </w:pPr>
            <w:r w:rsidRPr="003341AF">
              <w:rPr>
                <w:rFonts w:ascii="Arial" w:eastAsia="Times New Roman" w:hAnsi="Arial" w:cs="Arial"/>
                <w:bCs/>
                <w:sz w:val="20"/>
                <w:szCs w:val="20"/>
                <w:lang w:val="sr-Latn-ME"/>
              </w:rPr>
              <w:t>1</w:t>
            </w:r>
          </w:p>
        </w:tc>
        <w:tc>
          <w:tcPr>
            <w:tcW w:w="851" w:type="dxa"/>
            <w:gridSpan w:val="2"/>
            <w:tcBorders>
              <w:top w:val="single" w:sz="4" w:space="0" w:color="auto"/>
              <w:left w:val="single" w:sz="4" w:space="0" w:color="auto"/>
              <w:bottom w:val="single" w:sz="4" w:space="0" w:color="auto"/>
            </w:tcBorders>
            <w:shd w:val="clear" w:color="auto" w:fill="auto"/>
            <w:vAlign w:val="center"/>
          </w:tcPr>
          <w:p w:rsidR="001B2128" w:rsidRPr="003341AF" w:rsidRDefault="001B2128" w:rsidP="00291635">
            <w:pPr>
              <w:spacing w:after="0" w:line="240" w:lineRule="auto"/>
              <w:jc w:val="center"/>
              <w:rPr>
                <w:rFonts w:ascii="Arial" w:eastAsia="Times New Roman" w:hAnsi="Arial" w:cs="Arial"/>
                <w:bCs/>
                <w:sz w:val="20"/>
                <w:szCs w:val="20"/>
                <w:lang w:val="sr-Latn-ME"/>
              </w:rPr>
            </w:pPr>
            <w:r w:rsidRPr="003341AF">
              <w:rPr>
                <w:rFonts w:ascii="Arial" w:eastAsia="Times New Roman" w:hAnsi="Arial" w:cs="Arial"/>
                <w:bCs/>
                <w:sz w:val="20"/>
                <w:szCs w:val="20"/>
                <w:lang w:val="sr-Latn-ME"/>
              </w:rPr>
              <w:t>4</w:t>
            </w:r>
          </w:p>
        </w:tc>
        <w:tc>
          <w:tcPr>
            <w:tcW w:w="1984" w:type="dxa"/>
            <w:vAlign w:val="center"/>
          </w:tcPr>
          <w:p w:rsidR="001B2128" w:rsidRPr="003341AF" w:rsidRDefault="001B2128" w:rsidP="00291635">
            <w:pPr>
              <w:autoSpaceDE w:val="0"/>
              <w:autoSpaceDN w:val="0"/>
              <w:adjustRightInd w:val="0"/>
              <w:spacing w:after="0" w:line="240" w:lineRule="auto"/>
              <w:jc w:val="both"/>
              <w:rPr>
                <w:rFonts w:ascii="Arial" w:eastAsia="Calibri" w:hAnsi="Arial" w:cs="Arial"/>
                <w:sz w:val="20"/>
                <w:szCs w:val="20"/>
                <w:lang w:val="sr-Latn-ME"/>
              </w:rPr>
            </w:pPr>
          </w:p>
          <w:p w:rsidR="001B2128" w:rsidRPr="003341AF" w:rsidRDefault="001B2128" w:rsidP="00291635">
            <w:pPr>
              <w:autoSpaceDE w:val="0"/>
              <w:autoSpaceDN w:val="0"/>
              <w:adjustRightInd w:val="0"/>
              <w:spacing w:after="0" w:line="240" w:lineRule="auto"/>
              <w:jc w:val="both"/>
              <w:rPr>
                <w:rFonts w:ascii="Arial" w:eastAsia="Calibri" w:hAnsi="Arial" w:cs="Arial"/>
                <w:sz w:val="20"/>
                <w:szCs w:val="20"/>
                <w:lang w:val="sr-Latn-ME"/>
              </w:rPr>
            </w:pPr>
            <w:r w:rsidRPr="003341AF">
              <w:rPr>
                <w:rFonts w:ascii="Arial" w:eastAsia="Calibri" w:hAnsi="Arial" w:cs="Arial"/>
                <w:sz w:val="20"/>
                <w:szCs w:val="20"/>
                <w:lang w:val="sr-Latn-ME"/>
              </w:rPr>
              <w:t>Zakon o zaradama državnih službenika i namještenika</w:t>
            </w:r>
          </w:p>
          <w:p w:rsidR="001B2128" w:rsidRPr="003341AF" w:rsidRDefault="001B2128" w:rsidP="00291635">
            <w:pPr>
              <w:autoSpaceDE w:val="0"/>
              <w:autoSpaceDN w:val="0"/>
              <w:adjustRightInd w:val="0"/>
              <w:spacing w:after="0" w:line="240" w:lineRule="auto"/>
              <w:jc w:val="both"/>
              <w:rPr>
                <w:rFonts w:ascii="Arial" w:eastAsia="Calibri" w:hAnsi="Arial" w:cs="Arial"/>
                <w:sz w:val="20"/>
                <w:szCs w:val="20"/>
                <w:lang w:val="sr-Latn-ME"/>
              </w:rPr>
            </w:pPr>
          </w:p>
          <w:p w:rsidR="001B2128" w:rsidRPr="003341AF" w:rsidRDefault="001B2128" w:rsidP="00291635">
            <w:pPr>
              <w:autoSpaceDE w:val="0"/>
              <w:autoSpaceDN w:val="0"/>
              <w:adjustRightInd w:val="0"/>
              <w:spacing w:after="0" w:line="240" w:lineRule="auto"/>
              <w:jc w:val="both"/>
              <w:rPr>
                <w:rFonts w:ascii="Arial" w:eastAsia="Calibri" w:hAnsi="Arial" w:cs="Arial"/>
                <w:sz w:val="20"/>
                <w:szCs w:val="20"/>
                <w:lang w:val="sr-Latn-ME"/>
              </w:rPr>
            </w:pPr>
            <w:r w:rsidRPr="003341AF">
              <w:rPr>
                <w:rFonts w:ascii="Arial" w:eastAsia="Calibri" w:hAnsi="Arial" w:cs="Arial"/>
                <w:sz w:val="20"/>
                <w:szCs w:val="20"/>
                <w:lang w:val="sr-Latn-ME"/>
              </w:rPr>
              <w:t>Pravilnik</w:t>
            </w:r>
          </w:p>
          <w:p w:rsidR="001B2128" w:rsidRPr="003341AF" w:rsidRDefault="001B2128" w:rsidP="00291635">
            <w:pPr>
              <w:autoSpaceDE w:val="0"/>
              <w:autoSpaceDN w:val="0"/>
              <w:adjustRightInd w:val="0"/>
              <w:spacing w:after="0" w:line="240" w:lineRule="auto"/>
              <w:jc w:val="both"/>
              <w:rPr>
                <w:rFonts w:ascii="Arial" w:eastAsia="Calibri" w:hAnsi="Arial" w:cs="Arial"/>
                <w:sz w:val="20"/>
                <w:szCs w:val="20"/>
                <w:lang w:val="sr-Latn-ME"/>
              </w:rPr>
            </w:pPr>
            <w:r w:rsidRPr="003341AF">
              <w:rPr>
                <w:rFonts w:ascii="Arial" w:eastAsia="Calibri" w:hAnsi="Arial" w:cs="Arial"/>
                <w:sz w:val="20"/>
                <w:szCs w:val="20"/>
                <w:lang w:val="sr-Latn-ME"/>
              </w:rPr>
              <w:t>o načinu pripreme podataka za obračun zarada</w:t>
            </w:r>
          </w:p>
          <w:p w:rsidR="001B2128" w:rsidRPr="003341AF" w:rsidRDefault="001B2128" w:rsidP="00291635">
            <w:pPr>
              <w:autoSpaceDE w:val="0"/>
              <w:autoSpaceDN w:val="0"/>
              <w:adjustRightInd w:val="0"/>
              <w:spacing w:after="0" w:line="240" w:lineRule="auto"/>
              <w:jc w:val="both"/>
              <w:rPr>
                <w:rFonts w:ascii="Arial" w:eastAsia="Calibri" w:hAnsi="Arial" w:cs="Arial"/>
                <w:color w:val="000000"/>
                <w:sz w:val="20"/>
                <w:szCs w:val="20"/>
                <w:lang w:val="sr-Latn-ME"/>
              </w:rPr>
            </w:pPr>
          </w:p>
        </w:tc>
        <w:tc>
          <w:tcPr>
            <w:tcW w:w="2410" w:type="dxa"/>
            <w:shd w:val="clear" w:color="auto" w:fill="auto"/>
            <w:vAlign w:val="center"/>
          </w:tcPr>
          <w:p w:rsidR="001B2128" w:rsidRPr="003341AF" w:rsidRDefault="001B2128" w:rsidP="00291635">
            <w:pPr>
              <w:autoSpaceDE w:val="0"/>
              <w:autoSpaceDN w:val="0"/>
              <w:adjustRightInd w:val="0"/>
              <w:spacing w:after="0" w:line="240" w:lineRule="auto"/>
              <w:jc w:val="both"/>
              <w:rPr>
                <w:rFonts w:ascii="Arial" w:eastAsia="Calibri" w:hAnsi="Arial" w:cs="Arial"/>
                <w:sz w:val="20"/>
                <w:szCs w:val="20"/>
                <w:lang w:val="sr-Latn-ME"/>
              </w:rPr>
            </w:pPr>
            <w:r w:rsidRPr="003341AF">
              <w:rPr>
                <w:rFonts w:ascii="Arial" w:eastAsia="Calibri" w:hAnsi="Arial" w:cs="Arial"/>
                <w:sz w:val="20"/>
                <w:szCs w:val="20"/>
                <w:lang w:val="sr-Latn-ME"/>
              </w:rPr>
              <w:t xml:space="preserve">Edukovati lica zadužena za finansije </w:t>
            </w:r>
          </w:p>
          <w:p w:rsidR="001B2128" w:rsidRPr="003341AF" w:rsidRDefault="001B2128" w:rsidP="00291635">
            <w:pPr>
              <w:autoSpaceDE w:val="0"/>
              <w:autoSpaceDN w:val="0"/>
              <w:adjustRightInd w:val="0"/>
              <w:spacing w:after="0" w:line="240" w:lineRule="auto"/>
              <w:jc w:val="both"/>
              <w:rPr>
                <w:rFonts w:ascii="Arial" w:eastAsia="Calibri" w:hAnsi="Arial" w:cs="Arial"/>
                <w:color w:val="000000"/>
                <w:sz w:val="20"/>
                <w:szCs w:val="20"/>
                <w:lang w:val="sr-Latn-ME"/>
              </w:rPr>
            </w:pPr>
            <w:r w:rsidRPr="003341AF">
              <w:rPr>
                <w:rFonts w:ascii="Arial" w:eastAsia="Calibri" w:hAnsi="Arial" w:cs="Arial"/>
                <w:sz w:val="20"/>
                <w:szCs w:val="20"/>
                <w:lang w:val="sr-Latn-ME"/>
              </w:rPr>
              <w:t>Praćenje Zakonskih propisa</w:t>
            </w:r>
          </w:p>
        </w:tc>
        <w:tc>
          <w:tcPr>
            <w:tcW w:w="1701" w:type="dxa"/>
            <w:shd w:val="clear" w:color="auto" w:fill="auto"/>
            <w:vAlign w:val="center"/>
          </w:tcPr>
          <w:p w:rsidR="001B2128" w:rsidRPr="003341AF" w:rsidRDefault="001B2128" w:rsidP="00291635">
            <w:pPr>
              <w:spacing w:after="0" w:line="240" w:lineRule="auto"/>
              <w:jc w:val="both"/>
              <w:rPr>
                <w:rFonts w:ascii="Arial" w:eastAsia="Calibri" w:hAnsi="Arial" w:cs="Arial"/>
                <w:sz w:val="20"/>
                <w:szCs w:val="20"/>
                <w:lang w:val="sr-Latn-ME"/>
              </w:rPr>
            </w:pPr>
            <w:r w:rsidRPr="003341AF">
              <w:rPr>
                <w:rFonts w:ascii="Arial" w:eastAsia="Calibri" w:hAnsi="Arial" w:cs="Arial"/>
                <w:sz w:val="20"/>
                <w:szCs w:val="20"/>
                <w:lang w:val="sr-Latn-ME"/>
              </w:rPr>
              <w:t xml:space="preserve">Direktor </w:t>
            </w:r>
          </w:p>
          <w:p w:rsidR="001B2128" w:rsidRPr="003341AF" w:rsidRDefault="001B2128" w:rsidP="00291635">
            <w:pPr>
              <w:spacing w:after="0" w:line="240" w:lineRule="auto"/>
              <w:jc w:val="both"/>
              <w:rPr>
                <w:rFonts w:ascii="Arial" w:eastAsia="Calibri" w:hAnsi="Arial" w:cs="Arial"/>
                <w:sz w:val="20"/>
                <w:szCs w:val="20"/>
                <w:lang w:val="sr-Latn-ME"/>
              </w:rPr>
            </w:pPr>
            <w:r w:rsidRPr="003341AF">
              <w:rPr>
                <w:rFonts w:ascii="Arial" w:eastAsia="Calibri" w:hAnsi="Arial" w:cs="Arial"/>
                <w:sz w:val="20"/>
                <w:szCs w:val="20"/>
                <w:lang w:val="sr-Latn-ME"/>
              </w:rPr>
              <w:t>Načelnica Službe za opšte poslove i finasije i</w:t>
            </w:r>
          </w:p>
          <w:p w:rsidR="001B2128" w:rsidRPr="003341AF" w:rsidRDefault="001B2128" w:rsidP="00291635">
            <w:pPr>
              <w:spacing w:after="0" w:line="240" w:lineRule="auto"/>
              <w:jc w:val="both"/>
              <w:rPr>
                <w:rFonts w:ascii="Arial" w:eastAsia="Calibri" w:hAnsi="Arial" w:cs="Arial"/>
                <w:sz w:val="20"/>
                <w:szCs w:val="20"/>
                <w:lang w:val="sr-Latn-ME"/>
              </w:rPr>
            </w:pPr>
            <w:r w:rsidRPr="003341AF">
              <w:rPr>
                <w:rFonts w:ascii="Arial" w:eastAsia="Calibri" w:hAnsi="Arial" w:cs="Arial"/>
                <w:sz w:val="20"/>
                <w:szCs w:val="20"/>
                <w:lang w:val="sr-Latn-ME"/>
              </w:rPr>
              <w:t xml:space="preserve">Samostalna savjetnica III za </w:t>
            </w:r>
          </w:p>
          <w:p w:rsidR="001B2128" w:rsidRPr="003341AF" w:rsidRDefault="001B2128" w:rsidP="00291635">
            <w:pPr>
              <w:spacing w:after="0" w:line="240" w:lineRule="auto"/>
              <w:jc w:val="both"/>
              <w:rPr>
                <w:rFonts w:ascii="Arial" w:eastAsia="Calibri" w:hAnsi="Arial" w:cs="Arial"/>
                <w:sz w:val="20"/>
                <w:szCs w:val="20"/>
                <w:lang w:val="sr-Latn-ME"/>
              </w:rPr>
            </w:pPr>
            <w:r w:rsidRPr="003341AF">
              <w:rPr>
                <w:rFonts w:ascii="Arial" w:eastAsia="Calibri" w:hAnsi="Arial" w:cs="Arial"/>
                <w:sz w:val="20"/>
                <w:szCs w:val="20"/>
                <w:lang w:val="sr-Latn-ME"/>
              </w:rPr>
              <w:t>finansijske  poslove</w:t>
            </w:r>
          </w:p>
        </w:tc>
        <w:tc>
          <w:tcPr>
            <w:tcW w:w="1531" w:type="dxa"/>
            <w:shd w:val="clear" w:color="auto" w:fill="auto"/>
            <w:vAlign w:val="center"/>
          </w:tcPr>
          <w:p w:rsidR="001B2128" w:rsidRPr="003341AF" w:rsidRDefault="001B2128" w:rsidP="00291635">
            <w:pPr>
              <w:spacing w:after="0" w:line="360" w:lineRule="auto"/>
              <w:jc w:val="both"/>
              <w:rPr>
                <w:rFonts w:ascii="Arial" w:eastAsia="Calibri" w:hAnsi="Arial" w:cs="Arial"/>
                <w:sz w:val="20"/>
                <w:szCs w:val="20"/>
                <w:lang w:val="sr-Latn-ME"/>
              </w:rPr>
            </w:pPr>
            <w:r w:rsidRPr="003341AF">
              <w:rPr>
                <w:rFonts w:ascii="Arial" w:eastAsia="Calibri" w:hAnsi="Arial" w:cs="Arial"/>
                <w:sz w:val="20"/>
                <w:szCs w:val="20"/>
                <w:lang w:val="sr-Latn-ME"/>
              </w:rPr>
              <w:t>Mjesečno</w:t>
            </w:r>
          </w:p>
        </w:tc>
      </w:tr>
      <w:tr w:rsidR="001B2128" w:rsidRPr="003341AF" w:rsidTr="00291635">
        <w:trPr>
          <w:cantSplit/>
          <w:trHeight w:val="2539"/>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128" w:rsidRPr="003341AF" w:rsidRDefault="001B2128" w:rsidP="00291635">
            <w:pPr>
              <w:spacing w:after="0" w:line="360" w:lineRule="auto"/>
              <w:jc w:val="center"/>
              <w:rPr>
                <w:rFonts w:ascii="Arial" w:eastAsia="Times New Roman" w:hAnsi="Arial" w:cs="Arial"/>
                <w:bCs/>
                <w:sz w:val="20"/>
                <w:szCs w:val="20"/>
                <w:lang w:val="sr-Latn-ME"/>
              </w:rPr>
            </w:pPr>
            <w:r w:rsidRPr="003341AF">
              <w:rPr>
                <w:rFonts w:ascii="Arial" w:eastAsia="Times New Roman" w:hAnsi="Arial" w:cs="Arial"/>
                <w:bCs/>
                <w:sz w:val="20"/>
                <w:szCs w:val="20"/>
                <w:lang w:val="sr-Latn-ME"/>
              </w:rPr>
              <w:t>4.</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128" w:rsidRPr="003341AF" w:rsidRDefault="001B2128" w:rsidP="00291635">
            <w:pPr>
              <w:autoSpaceDE w:val="0"/>
              <w:autoSpaceDN w:val="0"/>
              <w:adjustRightInd w:val="0"/>
              <w:spacing w:after="0" w:line="240" w:lineRule="auto"/>
              <w:jc w:val="both"/>
              <w:rPr>
                <w:rFonts w:ascii="Arial" w:eastAsia="Calibri" w:hAnsi="Arial" w:cs="Arial"/>
                <w:sz w:val="20"/>
                <w:szCs w:val="20"/>
                <w:lang w:val="sr-Latn-ME"/>
              </w:rPr>
            </w:pPr>
            <w:r w:rsidRPr="003341AF">
              <w:rPr>
                <w:rFonts w:ascii="Arial" w:eastAsia="Calibri" w:hAnsi="Arial" w:cs="Arial"/>
                <w:sz w:val="20"/>
                <w:szCs w:val="20"/>
                <w:lang w:val="sr-Latn-ME"/>
              </w:rPr>
              <w:t>U  Centralnu kadrovsku evidenciju neažurno i neprecizno unositi podatke o zaposlenima</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128" w:rsidRPr="003341AF" w:rsidRDefault="001B2128" w:rsidP="00291635">
            <w:pPr>
              <w:autoSpaceDE w:val="0"/>
              <w:autoSpaceDN w:val="0"/>
              <w:adjustRightInd w:val="0"/>
              <w:spacing w:after="0" w:line="240" w:lineRule="atLeast"/>
              <w:jc w:val="center"/>
              <w:rPr>
                <w:rFonts w:ascii="Arial" w:eastAsia="Calibri" w:hAnsi="Arial" w:cs="Arial"/>
                <w:sz w:val="20"/>
                <w:szCs w:val="20"/>
                <w:lang w:val="sr-Latn-ME"/>
              </w:rPr>
            </w:pPr>
            <w:r w:rsidRPr="003341AF">
              <w:rPr>
                <w:rFonts w:ascii="Arial" w:eastAsia="Calibri" w:hAnsi="Arial" w:cs="Arial"/>
                <w:sz w:val="20"/>
                <w:szCs w:val="20"/>
                <w:lang w:val="sr-Latn-ME"/>
              </w:rPr>
              <w:t>Operativni,</w:t>
            </w:r>
          </w:p>
          <w:p w:rsidR="001B2128" w:rsidRPr="003341AF" w:rsidRDefault="001B2128" w:rsidP="00291635">
            <w:pPr>
              <w:autoSpaceDE w:val="0"/>
              <w:autoSpaceDN w:val="0"/>
              <w:adjustRightInd w:val="0"/>
              <w:spacing w:after="0" w:line="240" w:lineRule="atLeast"/>
              <w:rPr>
                <w:rFonts w:ascii="Arial" w:eastAsia="Calibri" w:hAnsi="Arial" w:cs="Arial"/>
                <w:sz w:val="20"/>
                <w:szCs w:val="20"/>
                <w:lang w:val="sr-Latn-ME"/>
              </w:rPr>
            </w:pPr>
            <w:r w:rsidRPr="003341AF">
              <w:rPr>
                <w:rFonts w:ascii="Arial" w:eastAsia="Calibri" w:hAnsi="Arial" w:cs="Arial"/>
                <w:sz w:val="20"/>
                <w:szCs w:val="20"/>
                <w:lang w:val="sr-Latn-ME"/>
              </w:rPr>
              <w:t xml:space="preserve">      zakonski</w:t>
            </w:r>
          </w:p>
        </w:tc>
        <w:tc>
          <w:tcPr>
            <w:tcW w:w="708" w:type="dxa"/>
            <w:tcBorders>
              <w:top w:val="single" w:sz="4" w:space="0" w:color="auto"/>
              <w:left w:val="single" w:sz="4" w:space="0" w:color="000000"/>
              <w:bottom w:val="single" w:sz="4" w:space="0" w:color="auto"/>
              <w:right w:val="single" w:sz="4" w:space="0" w:color="auto"/>
            </w:tcBorders>
            <w:shd w:val="clear" w:color="auto" w:fill="auto"/>
            <w:vAlign w:val="center"/>
          </w:tcPr>
          <w:p w:rsidR="001B2128" w:rsidRPr="003341AF" w:rsidRDefault="001B2128" w:rsidP="00291635">
            <w:pPr>
              <w:spacing w:after="0" w:line="240" w:lineRule="auto"/>
              <w:jc w:val="center"/>
              <w:rPr>
                <w:rFonts w:ascii="Arial" w:eastAsia="Times New Roman" w:hAnsi="Arial" w:cs="Arial"/>
                <w:bCs/>
                <w:sz w:val="20"/>
                <w:szCs w:val="20"/>
                <w:lang w:val="sr-Latn-ME"/>
              </w:rPr>
            </w:pPr>
            <w:r w:rsidRPr="003341AF">
              <w:rPr>
                <w:rFonts w:ascii="Arial" w:eastAsia="Times New Roman" w:hAnsi="Arial" w:cs="Arial"/>
                <w:bCs/>
                <w:sz w:val="20"/>
                <w:szCs w:val="20"/>
                <w:lang w:val="sr-Latn-ME"/>
              </w:rPr>
              <w:t>2</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1B2128" w:rsidRPr="003341AF" w:rsidRDefault="001B2128" w:rsidP="00291635">
            <w:pPr>
              <w:spacing w:after="0" w:line="240" w:lineRule="auto"/>
              <w:jc w:val="center"/>
              <w:rPr>
                <w:rFonts w:ascii="Arial" w:eastAsia="Times New Roman" w:hAnsi="Arial" w:cs="Arial"/>
                <w:bCs/>
                <w:sz w:val="20"/>
                <w:szCs w:val="20"/>
                <w:lang w:val="sr-Latn-ME"/>
              </w:rPr>
            </w:pPr>
            <w:r w:rsidRPr="003341AF">
              <w:rPr>
                <w:rFonts w:ascii="Arial" w:eastAsia="Times New Roman" w:hAnsi="Arial" w:cs="Arial"/>
                <w:bCs/>
                <w:sz w:val="20"/>
                <w:szCs w:val="20"/>
                <w:lang w:val="sr-Latn-ME"/>
              </w:rPr>
              <w:t>2</w:t>
            </w:r>
          </w:p>
        </w:tc>
        <w:tc>
          <w:tcPr>
            <w:tcW w:w="851"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1B2128" w:rsidRPr="003341AF" w:rsidRDefault="001B2128" w:rsidP="00291635">
            <w:pPr>
              <w:spacing w:after="0" w:line="240" w:lineRule="auto"/>
              <w:jc w:val="center"/>
              <w:rPr>
                <w:rFonts w:ascii="Arial" w:eastAsia="Times New Roman" w:hAnsi="Arial" w:cs="Arial"/>
                <w:bCs/>
                <w:sz w:val="20"/>
                <w:szCs w:val="20"/>
                <w:lang w:val="sr-Latn-ME"/>
              </w:rPr>
            </w:pPr>
            <w:r w:rsidRPr="003341AF">
              <w:rPr>
                <w:rFonts w:ascii="Arial" w:eastAsia="Times New Roman" w:hAnsi="Arial" w:cs="Arial"/>
                <w:bCs/>
                <w:sz w:val="20"/>
                <w:szCs w:val="20"/>
                <w:lang w:val="sr-Latn-ME"/>
              </w:rPr>
              <w:t>4</w:t>
            </w:r>
          </w:p>
        </w:tc>
        <w:tc>
          <w:tcPr>
            <w:tcW w:w="1984" w:type="dxa"/>
            <w:tcBorders>
              <w:top w:val="single" w:sz="4" w:space="0" w:color="000000"/>
              <w:left w:val="single" w:sz="4" w:space="0" w:color="000000"/>
              <w:bottom w:val="single" w:sz="4" w:space="0" w:color="000000"/>
              <w:right w:val="single" w:sz="4" w:space="0" w:color="000000"/>
            </w:tcBorders>
            <w:vAlign w:val="center"/>
          </w:tcPr>
          <w:p w:rsidR="001B2128" w:rsidRPr="003341AF" w:rsidRDefault="001B2128" w:rsidP="00291635">
            <w:pPr>
              <w:autoSpaceDE w:val="0"/>
              <w:autoSpaceDN w:val="0"/>
              <w:adjustRightInd w:val="0"/>
              <w:spacing w:after="0" w:line="240" w:lineRule="auto"/>
              <w:jc w:val="both"/>
              <w:rPr>
                <w:rFonts w:ascii="Arial" w:eastAsia="Calibri" w:hAnsi="Arial" w:cs="Arial"/>
                <w:sz w:val="20"/>
                <w:szCs w:val="20"/>
                <w:lang w:val="sr-Latn-ME"/>
              </w:rPr>
            </w:pPr>
            <w:r w:rsidRPr="003341AF">
              <w:rPr>
                <w:rFonts w:ascii="Arial" w:eastAsia="Calibri" w:hAnsi="Arial" w:cs="Arial"/>
                <w:sz w:val="20"/>
                <w:szCs w:val="20"/>
                <w:lang w:val="sr-Latn-ME"/>
              </w:rPr>
              <w:t xml:space="preserve">Zakon o državnim službenicima i namještenicima </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128" w:rsidRPr="003341AF" w:rsidRDefault="001B2128" w:rsidP="00291635">
            <w:pPr>
              <w:autoSpaceDE w:val="0"/>
              <w:autoSpaceDN w:val="0"/>
              <w:adjustRightInd w:val="0"/>
              <w:spacing w:after="0" w:line="240" w:lineRule="auto"/>
              <w:jc w:val="both"/>
              <w:rPr>
                <w:rFonts w:ascii="Arial" w:eastAsia="Calibri" w:hAnsi="Arial" w:cs="Arial"/>
                <w:sz w:val="20"/>
                <w:szCs w:val="20"/>
                <w:lang w:val="sr-Latn-ME"/>
              </w:rPr>
            </w:pPr>
            <w:r w:rsidRPr="003341AF">
              <w:rPr>
                <w:rFonts w:ascii="Arial" w:eastAsia="Calibri" w:hAnsi="Arial" w:cs="Arial"/>
                <w:sz w:val="20"/>
                <w:szCs w:val="20"/>
                <w:lang w:val="sr-Latn-ME"/>
              </w:rPr>
              <w:t>Prijaviti lice zaduženo za unos podataka za edukaciju</w:t>
            </w:r>
          </w:p>
          <w:p w:rsidR="001B2128" w:rsidRPr="003341AF" w:rsidRDefault="001B2128" w:rsidP="00291635">
            <w:pPr>
              <w:autoSpaceDE w:val="0"/>
              <w:autoSpaceDN w:val="0"/>
              <w:adjustRightInd w:val="0"/>
              <w:spacing w:after="0" w:line="240" w:lineRule="auto"/>
              <w:jc w:val="both"/>
              <w:rPr>
                <w:rFonts w:ascii="Arial" w:eastAsia="Calibri" w:hAnsi="Arial" w:cs="Arial"/>
                <w:sz w:val="20"/>
                <w:szCs w:val="20"/>
                <w:lang w:val="sr-Latn-ME"/>
              </w:rPr>
            </w:pPr>
          </w:p>
          <w:p w:rsidR="001B2128" w:rsidRPr="003341AF" w:rsidRDefault="001B2128" w:rsidP="00291635">
            <w:pPr>
              <w:autoSpaceDE w:val="0"/>
              <w:autoSpaceDN w:val="0"/>
              <w:adjustRightInd w:val="0"/>
              <w:spacing w:after="0" w:line="240" w:lineRule="auto"/>
              <w:jc w:val="both"/>
              <w:rPr>
                <w:rFonts w:ascii="Arial" w:eastAsia="Calibri" w:hAnsi="Arial" w:cs="Arial"/>
                <w:sz w:val="20"/>
                <w:szCs w:val="20"/>
                <w:lang w:val="sr-Latn-ME"/>
              </w:rPr>
            </w:pPr>
            <w:r w:rsidRPr="003341AF">
              <w:rPr>
                <w:rFonts w:ascii="Arial" w:eastAsia="Calibri" w:hAnsi="Arial" w:cs="Arial"/>
                <w:sz w:val="20"/>
                <w:szCs w:val="20"/>
                <w:lang w:val="sr-Latn-ME"/>
              </w:rPr>
              <w:t>Ažurno i precizno evidentiranje svih nastalih promjena u Zavodu</w:t>
            </w:r>
          </w:p>
          <w:p w:rsidR="001B2128" w:rsidRPr="003341AF" w:rsidRDefault="001B2128" w:rsidP="00291635">
            <w:pPr>
              <w:autoSpaceDE w:val="0"/>
              <w:autoSpaceDN w:val="0"/>
              <w:adjustRightInd w:val="0"/>
              <w:spacing w:after="0" w:line="240" w:lineRule="auto"/>
              <w:jc w:val="both"/>
              <w:rPr>
                <w:rFonts w:ascii="Arial" w:eastAsia="Calibri" w:hAnsi="Arial" w:cs="Arial"/>
                <w:sz w:val="20"/>
                <w:szCs w:val="20"/>
                <w:lang w:val="sr-Latn-ME"/>
              </w:rPr>
            </w:pPr>
          </w:p>
          <w:p w:rsidR="001B2128" w:rsidRPr="003341AF" w:rsidRDefault="001B2128" w:rsidP="00291635">
            <w:pPr>
              <w:autoSpaceDE w:val="0"/>
              <w:autoSpaceDN w:val="0"/>
              <w:adjustRightInd w:val="0"/>
              <w:spacing w:after="0" w:line="240" w:lineRule="auto"/>
              <w:jc w:val="both"/>
              <w:rPr>
                <w:rFonts w:ascii="Arial" w:eastAsia="Calibri" w:hAnsi="Arial" w:cs="Arial"/>
                <w:sz w:val="20"/>
                <w:szCs w:val="20"/>
                <w:lang w:val="sr-Latn-ME"/>
              </w:rPr>
            </w:pPr>
            <w:r w:rsidRPr="003341AF">
              <w:rPr>
                <w:rFonts w:ascii="Arial" w:eastAsia="Calibri" w:hAnsi="Arial" w:cs="Arial"/>
                <w:sz w:val="20"/>
                <w:szCs w:val="20"/>
                <w:lang w:val="sr-Latn-ME"/>
              </w:rPr>
              <w:t>UZLJR da se stara o ispravnosti sistema za CKE.</w:t>
            </w:r>
          </w:p>
          <w:p w:rsidR="001B2128" w:rsidRPr="003341AF" w:rsidRDefault="001B2128" w:rsidP="00291635">
            <w:pPr>
              <w:autoSpaceDE w:val="0"/>
              <w:autoSpaceDN w:val="0"/>
              <w:adjustRightInd w:val="0"/>
              <w:spacing w:after="0" w:line="240" w:lineRule="auto"/>
              <w:jc w:val="both"/>
              <w:rPr>
                <w:rFonts w:ascii="Arial" w:eastAsia="Calibri" w:hAnsi="Arial" w:cs="Arial"/>
                <w:sz w:val="20"/>
                <w:szCs w:val="20"/>
                <w:lang w:val="sr-Latn-ME"/>
              </w:rPr>
            </w:pPr>
          </w:p>
          <w:p w:rsidR="001B2128" w:rsidRPr="003341AF" w:rsidRDefault="001B2128" w:rsidP="00291635">
            <w:pPr>
              <w:autoSpaceDE w:val="0"/>
              <w:autoSpaceDN w:val="0"/>
              <w:adjustRightInd w:val="0"/>
              <w:spacing w:after="0" w:line="240" w:lineRule="auto"/>
              <w:jc w:val="both"/>
              <w:rPr>
                <w:rFonts w:ascii="Arial" w:eastAsia="Calibri" w:hAnsi="Arial" w:cs="Arial"/>
                <w:sz w:val="20"/>
                <w:szCs w:val="20"/>
                <w:lang w:val="sr-Latn-ME"/>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128" w:rsidRPr="003341AF" w:rsidRDefault="001B2128" w:rsidP="00291635">
            <w:pPr>
              <w:spacing w:after="0" w:line="240" w:lineRule="auto"/>
              <w:jc w:val="both"/>
              <w:rPr>
                <w:rFonts w:ascii="Arial" w:eastAsia="Calibri" w:hAnsi="Arial" w:cs="Arial"/>
                <w:sz w:val="20"/>
                <w:szCs w:val="20"/>
                <w:lang w:val="sr-Latn-ME"/>
              </w:rPr>
            </w:pPr>
            <w:r w:rsidRPr="003341AF">
              <w:rPr>
                <w:rFonts w:ascii="Arial" w:eastAsia="Calibri" w:hAnsi="Arial" w:cs="Arial"/>
                <w:sz w:val="20"/>
                <w:szCs w:val="20"/>
                <w:lang w:val="sr-Latn-ME"/>
              </w:rPr>
              <w:t>Načelnica Službe za opšte poslove i finasije</w:t>
            </w:r>
          </w:p>
          <w:p w:rsidR="001B2128" w:rsidRPr="003341AF" w:rsidRDefault="001B2128" w:rsidP="00291635">
            <w:pPr>
              <w:spacing w:after="0" w:line="240" w:lineRule="auto"/>
              <w:jc w:val="both"/>
              <w:rPr>
                <w:rFonts w:ascii="Arial" w:eastAsia="Calibri" w:hAnsi="Arial" w:cs="Arial"/>
                <w:sz w:val="20"/>
                <w:szCs w:val="20"/>
                <w:lang w:val="sr-Latn-ME"/>
              </w:rPr>
            </w:pPr>
            <w:r w:rsidRPr="003341AF">
              <w:rPr>
                <w:rFonts w:ascii="Arial" w:eastAsia="Calibri" w:hAnsi="Arial" w:cs="Arial"/>
                <w:sz w:val="20"/>
                <w:szCs w:val="20"/>
                <w:lang w:val="sr-Latn-ME"/>
              </w:rPr>
              <w:t>Sam savjetnik I  za opšte poslove</w:t>
            </w:r>
          </w:p>
          <w:p w:rsidR="001B2128" w:rsidRPr="003341AF" w:rsidRDefault="001B2128" w:rsidP="00291635">
            <w:pPr>
              <w:spacing w:after="0" w:line="240" w:lineRule="auto"/>
              <w:jc w:val="both"/>
              <w:rPr>
                <w:rFonts w:ascii="Arial" w:eastAsia="Calibri" w:hAnsi="Arial" w:cs="Arial"/>
                <w:sz w:val="20"/>
                <w:szCs w:val="20"/>
                <w:lang w:val="sr-Latn-ME"/>
              </w:rPr>
            </w:pPr>
          </w:p>
          <w:p w:rsidR="001B2128" w:rsidRPr="003341AF" w:rsidRDefault="001B2128" w:rsidP="00291635">
            <w:pPr>
              <w:spacing w:after="0" w:line="240" w:lineRule="auto"/>
              <w:jc w:val="both"/>
              <w:rPr>
                <w:rFonts w:ascii="Arial" w:eastAsia="Calibri" w:hAnsi="Arial" w:cs="Arial"/>
                <w:sz w:val="20"/>
                <w:szCs w:val="20"/>
                <w:lang w:val="sr-Latn-ME"/>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128" w:rsidRPr="003341AF" w:rsidRDefault="001B2128" w:rsidP="00291635">
            <w:pPr>
              <w:spacing w:after="0" w:line="360" w:lineRule="auto"/>
              <w:jc w:val="both"/>
              <w:rPr>
                <w:rFonts w:ascii="Arial" w:eastAsia="Calibri" w:hAnsi="Arial" w:cs="Arial"/>
                <w:sz w:val="20"/>
                <w:szCs w:val="20"/>
                <w:lang w:val="sr-Latn-ME"/>
              </w:rPr>
            </w:pPr>
            <w:r w:rsidRPr="003341AF">
              <w:rPr>
                <w:rFonts w:ascii="Arial" w:eastAsia="Calibri" w:hAnsi="Arial" w:cs="Arial"/>
                <w:sz w:val="20"/>
                <w:szCs w:val="20"/>
                <w:lang w:val="sr-Latn-ME"/>
              </w:rPr>
              <w:t>Svakodnevno</w:t>
            </w:r>
          </w:p>
        </w:tc>
      </w:tr>
      <w:tr w:rsidR="001B2128" w:rsidRPr="003341AF" w:rsidTr="00291635">
        <w:trPr>
          <w:cantSplit/>
          <w:trHeight w:val="2539"/>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128" w:rsidRPr="003341AF" w:rsidRDefault="001B2128" w:rsidP="00291635">
            <w:pPr>
              <w:spacing w:after="0" w:line="360" w:lineRule="auto"/>
              <w:jc w:val="center"/>
              <w:rPr>
                <w:rFonts w:ascii="Arial" w:eastAsia="Times New Roman" w:hAnsi="Arial" w:cs="Arial"/>
                <w:bCs/>
                <w:sz w:val="20"/>
                <w:szCs w:val="20"/>
                <w:lang w:val="sr-Latn-ME"/>
              </w:rPr>
            </w:pPr>
            <w:r w:rsidRPr="003341AF">
              <w:rPr>
                <w:rFonts w:ascii="Arial" w:eastAsia="Times New Roman" w:hAnsi="Arial" w:cs="Arial"/>
                <w:bCs/>
                <w:sz w:val="20"/>
                <w:szCs w:val="20"/>
                <w:lang w:val="sr-Latn-ME"/>
              </w:rPr>
              <w:lastRenderedPageBreak/>
              <w:t>5.</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128" w:rsidRPr="003341AF" w:rsidRDefault="001B2128" w:rsidP="00291635">
            <w:pPr>
              <w:autoSpaceDE w:val="0"/>
              <w:autoSpaceDN w:val="0"/>
              <w:adjustRightInd w:val="0"/>
              <w:spacing w:after="0" w:line="240" w:lineRule="auto"/>
              <w:jc w:val="both"/>
              <w:rPr>
                <w:rFonts w:ascii="Arial" w:eastAsia="Calibri" w:hAnsi="Arial" w:cs="Arial"/>
                <w:sz w:val="20"/>
                <w:szCs w:val="20"/>
                <w:lang w:val="sr-Latn-ME"/>
              </w:rPr>
            </w:pPr>
            <w:r w:rsidRPr="003341AF">
              <w:rPr>
                <w:rFonts w:ascii="Arial" w:eastAsia="Calibri" w:hAnsi="Arial" w:cs="Arial"/>
                <w:sz w:val="20"/>
                <w:szCs w:val="20"/>
                <w:lang w:val="sr-Latn-ME"/>
              </w:rPr>
              <w:t>Nedonošenje akata u skladu sa Zakonom i utvrđenom roku</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128" w:rsidRPr="003341AF" w:rsidRDefault="001B2128" w:rsidP="00291635">
            <w:pPr>
              <w:autoSpaceDE w:val="0"/>
              <w:autoSpaceDN w:val="0"/>
              <w:adjustRightInd w:val="0"/>
              <w:spacing w:after="0" w:line="240" w:lineRule="atLeast"/>
              <w:jc w:val="center"/>
              <w:rPr>
                <w:rFonts w:ascii="Arial" w:eastAsia="Calibri" w:hAnsi="Arial" w:cs="Arial"/>
                <w:sz w:val="20"/>
                <w:szCs w:val="20"/>
                <w:lang w:val="sr-Latn-ME"/>
              </w:rPr>
            </w:pPr>
            <w:r w:rsidRPr="003341AF">
              <w:rPr>
                <w:rFonts w:ascii="Arial" w:eastAsia="Calibri" w:hAnsi="Arial" w:cs="Arial"/>
                <w:sz w:val="20"/>
                <w:szCs w:val="20"/>
                <w:lang w:val="sr-Latn-ME"/>
              </w:rPr>
              <w:t>Operativni,</w:t>
            </w:r>
          </w:p>
          <w:p w:rsidR="001B2128" w:rsidRPr="003341AF" w:rsidRDefault="001B2128" w:rsidP="00291635">
            <w:pPr>
              <w:autoSpaceDE w:val="0"/>
              <w:autoSpaceDN w:val="0"/>
              <w:adjustRightInd w:val="0"/>
              <w:spacing w:after="0" w:line="240" w:lineRule="atLeast"/>
              <w:jc w:val="center"/>
              <w:rPr>
                <w:rFonts w:ascii="Arial" w:eastAsia="Calibri" w:hAnsi="Arial" w:cs="Arial"/>
                <w:sz w:val="20"/>
                <w:szCs w:val="20"/>
                <w:lang w:val="sr-Latn-ME"/>
              </w:rPr>
            </w:pPr>
            <w:r w:rsidRPr="003341AF">
              <w:rPr>
                <w:rFonts w:ascii="Arial" w:eastAsia="Calibri" w:hAnsi="Arial" w:cs="Arial"/>
                <w:sz w:val="20"/>
                <w:szCs w:val="20"/>
                <w:lang w:val="sr-Latn-ME"/>
              </w:rPr>
              <w:t>zakonski</w:t>
            </w:r>
          </w:p>
        </w:tc>
        <w:tc>
          <w:tcPr>
            <w:tcW w:w="708" w:type="dxa"/>
            <w:tcBorders>
              <w:top w:val="single" w:sz="4" w:space="0" w:color="auto"/>
              <w:left w:val="single" w:sz="4" w:space="0" w:color="000000"/>
              <w:bottom w:val="single" w:sz="4" w:space="0" w:color="auto"/>
              <w:right w:val="single" w:sz="4" w:space="0" w:color="auto"/>
            </w:tcBorders>
            <w:shd w:val="clear" w:color="auto" w:fill="auto"/>
            <w:vAlign w:val="center"/>
          </w:tcPr>
          <w:p w:rsidR="001B2128" w:rsidRPr="003341AF" w:rsidRDefault="001B2128" w:rsidP="00291635">
            <w:pPr>
              <w:spacing w:after="0" w:line="240" w:lineRule="auto"/>
              <w:jc w:val="center"/>
              <w:rPr>
                <w:rFonts w:ascii="Arial" w:eastAsia="Times New Roman" w:hAnsi="Arial" w:cs="Arial"/>
                <w:bCs/>
                <w:sz w:val="20"/>
                <w:szCs w:val="20"/>
                <w:lang w:val="sr-Latn-ME"/>
              </w:rPr>
            </w:pPr>
            <w:r w:rsidRPr="003341AF">
              <w:rPr>
                <w:rFonts w:ascii="Arial" w:eastAsia="Times New Roman" w:hAnsi="Arial" w:cs="Arial"/>
                <w:bCs/>
                <w:sz w:val="20"/>
                <w:szCs w:val="20"/>
                <w:lang w:val="sr-Latn-ME"/>
              </w:rPr>
              <w:t>5</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1B2128" w:rsidRPr="003341AF" w:rsidRDefault="001B2128" w:rsidP="00291635">
            <w:pPr>
              <w:spacing w:after="0" w:line="240" w:lineRule="auto"/>
              <w:jc w:val="center"/>
              <w:rPr>
                <w:rFonts w:ascii="Arial" w:eastAsia="Times New Roman" w:hAnsi="Arial" w:cs="Arial"/>
                <w:bCs/>
                <w:sz w:val="20"/>
                <w:szCs w:val="20"/>
                <w:lang w:val="sr-Latn-ME"/>
              </w:rPr>
            </w:pPr>
            <w:r w:rsidRPr="003341AF">
              <w:rPr>
                <w:rFonts w:ascii="Arial" w:eastAsia="Times New Roman" w:hAnsi="Arial" w:cs="Arial"/>
                <w:bCs/>
                <w:sz w:val="20"/>
                <w:szCs w:val="20"/>
                <w:lang w:val="sr-Latn-ME"/>
              </w:rPr>
              <w:t>2</w:t>
            </w:r>
          </w:p>
        </w:tc>
        <w:tc>
          <w:tcPr>
            <w:tcW w:w="851"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1B2128" w:rsidRPr="003341AF" w:rsidRDefault="001B2128" w:rsidP="00291635">
            <w:pPr>
              <w:spacing w:after="0" w:line="240" w:lineRule="auto"/>
              <w:jc w:val="center"/>
              <w:rPr>
                <w:rFonts w:ascii="Arial" w:eastAsia="Times New Roman" w:hAnsi="Arial" w:cs="Arial"/>
                <w:bCs/>
                <w:sz w:val="20"/>
                <w:szCs w:val="20"/>
                <w:lang w:val="sr-Latn-ME"/>
              </w:rPr>
            </w:pPr>
            <w:r w:rsidRPr="003341AF">
              <w:rPr>
                <w:rFonts w:ascii="Arial" w:eastAsia="Times New Roman" w:hAnsi="Arial" w:cs="Arial"/>
                <w:bCs/>
                <w:sz w:val="20"/>
                <w:szCs w:val="20"/>
                <w:lang w:val="sr-Latn-ME"/>
              </w:rPr>
              <w:t>10</w:t>
            </w:r>
          </w:p>
        </w:tc>
        <w:tc>
          <w:tcPr>
            <w:tcW w:w="1984" w:type="dxa"/>
            <w:tcBorders>
              <w:top w:val="single" w:sz="4" w:space="0" w:color="000000"/>
              <w:left w:val="single" w:sz="4" w:space="0" w:color="000000"/>
              <w:bottom w:val="single" w:sz="4" w:space="0" w:color="000000"/>
              <w:right w:val="single" w:sz="4" w:space="0" w:color="000000"/>
            </w:tcBorders>
            <w:vAlign w:val="center"/>
          </w:tcPr>
          <w:p w:rsidR="001B2128" w:rsidRPr="003341AF" w:rsidRDefault="001B2128" w:rsidP="00291635">
            <w:pPr>
              <w:autoSpaceDE w:val="0"/>
              <w:autoSpaceDN w:val="0"/>
              <w:adjustRightInd w:val="0"/>
              <w:spacing w:after="0" w:line="240" w:lineRule="auto"/>
              <w:jc w:val="both"/>
              <w:rPr>
                <w:rFonts w:ascii="Arial" w:eastAsia="Calibri" w:hAnsi="Arial" w:cs="Arial"/>
                <w:sz w:val="20"/>
                <w:szCs w:val="20"/>
                <w:lang w:val="sr-Latn-ME"/>
              </w:rPr>
            </w:pPr>
            <w:r w:rsidRPr="003341AF">
              <w:rPr>
                <w:rFonts w:ascii="Arial" w:eastAsia="Calibri" w:hAnsi="Arial" w:cs="Arial"/>
                <w:sz w:val="20"/>
                <w:szCs w:val="20"/>
                <w:lang w:val="sr-Latn-ME"/>
              </w:rPr>
              <w:t>Zakon o opštem upravnom postupku</w:t>
            </w:r>
          </w:p>
          <w:p w:rsidR="001B2128" w:rsidRPr="003341AF" w:rsidRDefault="001B2128" w:rsidP="00291635">
            <w:pPr>
              <w:autoSpaceDE w:val="0"/>
              <w:autoSpaceDN w:val="0"/>
              <w:adjustRightInd w:val="0"/>
              <w:spacing w:after="0" w:line="240" w:lineRule="auto"/>
              <w:jc w:val="both"/>
              <w:rPr>
                <w:rFonts w:ascii="Arial" w:eastAsia="Calibri" w:hAnsi="Arial" w:cs="Arial"/>
                <w:sz w:val="20"/>
                <w:szCs w:val="20"/>
                <w:lang w:val="sr-Latn-ME"/>
              </w:rPr>
            </w:pPr>
            <w:r w:rsidRPr="003341AF">
              <w:rPr>
                <w:rFonts w:ascii="Arial" w:eastAsia="Calibri" w:hAnsi="Arial" w:cs="Arial"/>
                <w:sz w:val="20"/>
                <w:szCs w:val="20"/>
                <w:lang w:val="sr-Latn-ME"/>
              </w:rPr>
              <w:t>Zakon o državnoj upravi</w:t>
            </w:r>
          </w:p>
          <w:p w:rsidR="001B2128" w:rsidRPr="003341AF" w:rsidRDefault="001B2128" w:rsidP="00291635">
            <w:pPr>
              <w:autoSpaceDE w:val="0"/>
              <w:autoSpaceDN w:val="0"/>
              <w:adjustRightInd w:val="0"/>
              <w:spacing w:after="0" w:line="240" w:lineRule="auto"/>
              <w:jc w:val="both"/>
              <w:rPr>
                <w:rFonts w:ascii="Arial" w:eastAsia="Calibri" w:hAnsi="Arial" w:cs="Arial"/>
                <w:sz w:val="20"/>
                <w:szCs w:val="20"/>
                <w:lang w:val="sr-Latn-ME"/>
              </w:rPr>
            </w:pPr>
            <w:r w:rsidRPr="003341AF">
              <w:rPr>
                <w:rFonts w:ascii="Arial" w:eastAsia="Calibri" w:hAnsi="Arial" w:cs="Arial"/>
                <w:sz w:val="20"/>
                <w:szCs w:val="20"/>
                <w:lang w:val="sr-Latn-ME"/>
              </w:rPr>
              <w:t>Zakon o državnim službenicima i namještenicima</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128" w:rsidRPr="003341AF" w:rsidRDefault="001B2128" w:rsidP="00291635">
            <w:pPr>
              <w:autoSpaceDE w:val="0"/>
              <w:autoSpaceDN w:val="0"/>
              <w:adjustRightInd w:val="0"/>
              <w:spacing w:after="0" w:line="240" w:lineRule="auto"/>
              <w:jc w:val="both"/>
              <w:rPr>
                <w:rFonts w:ascii="Arial" w:eastAsia="Calibri" w:hAnsi="Arial" w:cs="Arial"/>
                <w:sz w:val="20"/>
                <w:szCs w:val="20"/>
                <w:lang w:val="sr-Latn-ME"/>
              </w:rPr>
            </w:pPr>
            <w:r w:rsidRPr="003341AF">
              <w:rPr>
                <w:rFonts w:ascii="Arial" w:eastAsia="Calibri" w:hAnsi="Arial" w:cs="Arial"/>
                <w:sz w:val="20"/>
                <w:szCs w:val="20"/>
                <w:lang w:val="sr-Latn-ME"/>
              </w:rPr>
              <w:t>Uvesti zaposlenima aplikaciju Katalog propisa radi praćenje propisa i promjena iz navedenih oblasti</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128" w:rsidRPr="003341AF" w:rsidRDefault="001B2128" w:rsidP="00291635">
            <w:pPr>
              <w:spacing w:after="0" w:line="240" w:lineRule="auto"/>
              <w:jc w:val="both"/>
              <w:rPr>
                <w:rFonts w:ascii="Arial" w:eastAsia="Calibri" w:hAnsi="Arial" w:cs="Arial"/>
                <w:sz w:val="20"/>
                <w:szCs w:val="20"/>
                <w:lang w:val="sr-Latn-ME"/>
              </w:rPr>
            </w:pPr>
            <w:r w:rsidRPr="003341AF">
              <w:rPr>
                <w:rFonts w:ascii="Arial" w:eastAsia="Calibri" w:hAnsi="Arial" w:cs="Arial"/>
                <w:sz w:val="20"/>
                <w:szCs w:val="20"/>
                <w:lang w:val="sr-Latn-ME"/>
              </w:rPr>
              <w:t xml:space="preserve">Zaposleni u odjeljenjima </w:t>
            </w:r>
          </w:p>
          <w:p w:rsidR="001B2128" w:rsidRPr="003341AF" w:rsidRDefault="001B2128" w:rsidP="00291635">
            <w:pPr>
              <w:spacing w:after="0" w:line="240" w:lineRule="auto"/>
              <w:jc w:val="both"/>
              <w:rPr>
                <w:rFonts w:ascii="Arial" w:eastAsia="Calibri" w:hAnsi="Arial" w:cs="Arial"/>
                <w:sz w:val="20"/>
                <w:szCs w:val="20"/>
                <w:lang w:val="sr-Latn-ME"/>
              </w:rPr>
            </w:pPr>
          </w:p>
          <w:p w:rsidR="001B2128" w:rsidRPr="003341AF" w:rsidRDefault="001B2128" w:rsidP="00291635">
            <w:pPr>
              <w:spacing w:after="0" w:line="240" w:lineRule="auto"/>
              <w:jc w:val="both"/>
              <w:rPr>
                <w:rFonts w:ascii="Arial" w:eastAsia="Calibri" w:hAnsi="Arial" w:cs="Arial"/>
                <w:sz w:val="20"/>
                <w:szCs w:val="20"/>
                <w:lang w:val="sr-Latn-ME"/>
              </w:rPr>
            </w:pPr>
            <w:r w:rsidRPr="003341AF">
              <w:rPr>
                <w:rFonts w:ascii="Arial" w:eastAsia="Calibri" w:hAnsi="Arial" w:cs="Arial"/>
                <w:sz w:val="20"/>
                <w:szCs w:val="20"/>
                <w:lang w:val="sr-Latn-ME"/>
              </w:rPr>
              <w:t>Načelnici</w:t>
            </w:r>
          </w:p>
          <w:p w:rsidR="001B2128" w:rsidRPr="003341AF" w:rsidRDefault="001B2128" w:rsidP="00291635">
            <w:pPr>
              <w:spacing w:after="0" w:line="240" w:lineRule="auto"/>
              <w:jc w:val="both"/>
              <w:rPr>
                <w:rFonts w:ascii="Arial" w:eastAsia="Calibri" w:hAnsi="Arial" w:cs="Arial"/>
                <w:sz w:val="20"/>
                <w:szCs w:val="20"/>
                <w:lang w:val="sr-Latn-ME"/>
              </w:rPr>
            </w:pPr>
          </w:p>
          <w:p w:rsidR="001B2128" w:rsidRPr="003341AF" w:rsidRDefault="001B2128" w:rsidP="00291635">
            <w:pPr>
              <w:spacing w:after="0" w:line="240" w:lineRule="auto"/>
              <w:jc w:val="both"/>
              <w:rPr>
                <w:rFonts w:ascii="Arial" w:eastAsia="Calibri" w:hAnsi="Arial" w:cs="Arial"/>
                <w:sz w:val="20"/>
                <w:szCs w:val="20"/>
                <w:lang w:val="sr-Latn-ME"/>
              </w:rPr>
            </w:pPr>
            <w:r w:rsidRPr="003341AF">
              <w:rPr>
                <w:rFonts w:ascii="Arial" w:eastAsia="Calibri" w:hAnsi="Arial" w:cs="Arial"/>
                <w:sz w:val="20"/>
                <w:szCs w:val="20"/>
                <w:lang w:val="sr-Latn-ME"/>
              </w:rPr>
              <w:t>Sam. savjetnica III za  finansijske  poslove</w:t>
            </w:r>
          </w:p>
          <w:p w:rsidR="001B2128" w:rsidRPr="003341AF" w:rsidRDefault="001B2128" w:rsidP="00291635">
            <w:pPr>
              <w:spacing w:after="0" w:line="240" w:lineRule="auto"/>
              <w:jc w:val="both"/>
              <w:rPr>
                <w:rFonts w:ascii="Arial" w:eastAsia="Calibri" w:hAnsi="Arial" w:cs="Arial"/>
                <w:sz w:val="20"/>
                <w:szCs w:val="20"/>
                <w:lang w:val="sr-Latn-ME"/>
              </w:rPr>
            </w:pPr>
          </w:p>
          <w:p w:rsidR="001B2128" w:rsidRPr="003341AF" w:rsidRDefault="001B2128" w:rsidP="00291635">
            <w:pPr>
              <w:spacing w:after="0" w:line="240" w:lineRule="auto"/>
              <w:jc w:val="both"/>
              <w:rPr>
                <w:rFonts w:ascii="Arial" w:eastAsia="Calibri" w:hAnsi="Arial" w:cs="Arial"/>
                <w:sz w:val="20"/>
                <w:szCs w:val="20"/>
                <w:lang w:val="sr-Latn-ME"/>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128" w:rsidRPr="003341AF" w:rsidRDefault="001B2128" w:rsidP="00291635">
            <w:pPr>
              <w:spacing w:after="0" w:line="360" w:lineRule="auto"/>
              <w:jc w:val="both"/>
              <w:rPr>
                <w:rFonts w:ascii="Arial" w:eastAsia="Calibri" w:hAnsi="Arial" w:cs="Arial"/>
                <w:sz w:val="20"/>
                <w:szCs w:val="20"/>
                <w:lang w:val="sr-Latn-ME"/>
              </w:rPr>
            </w:pPr>
            <w:r w:rsidRPr="003341AF">
              <w:rPr>
                <w:rFonts w:ascii="Arial" w:eastAsia="Calibri" w:hAnsi="Arial" w:cs="Arial"/>
                <w:sz w:val="20"/>
                <w:szCs w:val="20"/>
                <w:lang w:val="sr-Latn-ME"/>
              </w:rPr>
              <w:t>Svakodnevno</w:t>
            </w:r>
          </w:p>
        </w:tc>
      </w:tr>
      <w:tr w:rsidR="001B2128" w:rsidRPr="003341AF" w:rsidTr="00291635">
        <w:trPr>
          <w:cantSplit/>
          <w:trHeight w:val="2539"/>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128" w:rsidRPr="003341AF" w:rsidRDefault="001B2128" w:rsidP="00291635">
            <w:pPr>
              <w:spacing w:after="0" w:line="360" w:lineRule="auto"/>
              <w:jc w:val="center"/>
              <w:rPr>
                <w:rFonts w:ascii="Arial" w:eastAsia="Times New Roman" w:hAnsi="Arial" w:cs="Arial"/>
                <w:bCs/>
                <w:sz w:val="20"/>
                <w:szCs w:val="20"/>
                <w:lang w:val="sr-Latn-ME"/>
              </w:rPr>
            </w:pPr>
            <w:r w:rsidRPr="003341AF">
              <w:rPr>
                <w:rFonts w:ascii="Arial" w:eastAsia="Times New Roman" w:hAnsi="Arial" w:cs="Arial"/>
                <w:bCs/>
                <w:sz w:val="20"/>
                <w:szCs w:val="20"/>
                <w:lang w:val="sr-Latn-ME"/>
              </w:rPr>
              <w:t>6.</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128" w:rsidRPr="003341AF" w:rsidRDefault="001B2128" w:rsidP="00291635">
            <w:pPr>
              <w:autoSpaceDE w:val="0"/>
              <w:autoSpaceDN w:val="0"/>
              <w:adjustRightInd w:val="0"/>
              <w:spacing w:after="0" w:line="240" w:lineRule="auto"/>
              <w:jc w:val="both"/>
              <w:rPr>
                <w:rFonts w:ascii="Arial" w:eastAsia="Calibri" w:hAnsi="Arial" w:cs="Arial"/>
                <w:sz w:val="20"/>
                <w:szCs w:val="20"/>
                <w:lang w:val="sr-Latn-ME"/>
              </w:rPr>
            </w:pPr>
            <w:r w:rsidRPr="003341AF">
              <w:rPr>
                <w:rFonts w:ascii="Arial" w:eastAsia="Calibri" w:hAnsi="Arial" w:cs="Arial"/>
                <w:sz w:val="20"/>
                <w:szCs w:val="20"/>
                <w:lang w:val="sr-Latn-ME"/>
              </w:rPr>
              <w:t xml:space="preserve">Na zahtjeve o slobodnom pristupu informacijama odgovoriti sa zakašnjenjem i netačno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128" w:rsidRPr="003341AF" w:rsidRDefault="001B2128" w:rsidP="00291635">
            <w:pPr>
              <w:autoSpaceDE w:val="0"/>
              <w:autoSpaceDN w:val="0"/>
              <w:adjustRightInd w:val="0"/>
              <w:spacing w:after="0" w:line="240" w:lineRule="atLeast"/>
              <w:jc w:val="center"/>
              <w:rPr>
                <w:rFonts w:ascii="Arial" w:eastAsia="Calibri" w:hAnsi="Arial" w:cs="Arial"/>
                <w:sz w:val="20"/>
                <w:szCs w:val="20"/>
                <w:lang w:val="sr-Latn-ME"/>
              </w:rPr>
            </w:pPr>
            <w:r w:rsidRPr="003341AF">
              <w:rPr>
                <w:rFonts w:ascii="Arial" w:eastAsia="Calibri" w:hAnsi="Arial" w:cs="Arial"/>
                <w:sz w:val="20"/>
                <w:szCs w:val="20"/>
                <w:lang w:val="sr-Latn-ME"/>
              </w:rPr>
              <w:t>Operativni.</w:t>
            </w:r>
          </w:p>
          <w:p w:rsidR="001B2128" w:rsidRPr="003341AF" w:rsidRDefault="001B2128" w:rsidP="00291635">
            <w:pPr>
              <w:autoSpaceDE w:val="0"/>
              <w:autoSpaceDN w:val="0"/>
              <w:adjustRightInd w:val="0"/>
              <w:spacing w:after="0" w:line="240" w:lineRule="atLeast"/>
              <w:jc w:val="center"/>
              <w:rPr>
                <w:rFonts w:ascii="Arial" w:eastAsia="Calibri" w:hAnsi="Arial" w:cs="Arial"/>
                <w:sz w:val="20"/>
                <w:szCs w:val="20"/>
                <w:lang w:val="sr-Latn-ME"/>
              </w:rPr>
            </w:pPr>
            <w:r w:rsidRPr="003341AF">
              <w:rPr>
                <w:rFonts w:ascii="Arial" w:eastAsia="Calibri" w:hAnsi="Arial" w:cs="Arial"/>
                <w:sz w:val="20"/>
                <w:szCs w:val="20"/>
                <w:lang w:val="sr-Latn-ME"/>
              </w:rPr>
              <w:t xml:space="preserve">zakonski </w:t>
            </w:r>
          </w:p>
        </w:tc>
        <w:tc>
          <w:tcPr>
            <w:tcW w:w="708" w:type="dxa"/>
            <w:tcBorders>
              <w:top w:val="single" w:sz="4" w:space="0" w:color="auto"/>
              <w:left w:val="single" w:sz="4" w:space="0" w:color="000000"/>
              <w:bottom w:val="single" w:sz="4" w:space="0" w:color="auto"/>
              <w:right w:val="single" w:sz="4" w:space="0" w:color="auto"/>
            </w:tcBorders>
            <w:shd w:val="clear" w:color="auto" w:fill="auto"/>
            <w:vAlign w:val="center"/>
          </w:tcPr>
          <w:p w:rsidR="001B2128" w:rsidRPr="003341AF" w:rsidRDefault="001B2128" w:rsidP="00291635">
            <w:pPr>
              <w:spacing w:after="0" w:line="240" w:lineRule="auto"/>
              <w:jc w:val="center"/>
              <w:rPr>
                <w:rFonts w:ascii="Arial" w:eastAsia="Times New Roman" w:hAnsi="Arial" w:cs="Arial"/>
                <w:bCs/>
                <w:sz w:val="20"/>
                <w:szCs w:val="20"/>
                <w:lang w:val="sr-Latn-ME"/>
              </w:rPr>
            </w:pPr>
            <w:r w:rsidRPr="003341AF">
              <w:rPr>
                <w:rFonts w:ascii="Arial" w:eastAsia="Times New Roman" w:hAnsi="Arial" w:cs="Arial"/>
                <w:bCs/>
                <w:sz w:val="20"/>
                <w:szCs w:val="20"/>
                <w:lang w:val="sr-Latn-ME"/>
              </w:rPr>
              <w:t>4</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1B2128" w:rsidRPr="003341AF" w:rsidRDefault="001B2128" w:rsidP="00291635">
            <w:pPr>
              <w:spacing w:after="0" w:line="240" w:lineRule="auto"/>
              <w:jc w:val="center"/>
              <w:rPr>
                <w:rFonts w:ascii="Arial" w:eastAsia="Times New Roman" w:hAnsi="Arial" w:cs="Arial"/>
                <w:bCs/>
                <w:sz w:val="20"/>
                <w:szCs w:val="20"/>
                <w:lang w:val="sr-Latn-ME"/>
              </w:rPr>
            </w:pPr>
            <w:r w:rsidRPr="003341AF">
              <w:rPr>
                <w:rFonts w:ascii="Arial" w:eastAsia="Times New Roman" w:hAnsi="Arial" w:cs="Arial"/>
                <w:bCs/>
                <w:sz w:val="20"/>
                <w:szCs w:val="20"/>
                <w:lang w:val="sr-Latn-ME"/>
              </w:rPr>
              <w:t>1</w:t>
            </w:r>
          </w:p>
        </w:tc>
        <w:tc>
          <w:tcPr>
            <w:tcW w:w="851"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1B2128" w:rsidRPr="003341AF" w:rsidRDefault="001B2128" w:rsidP="00291635">
            <w:pPr>
              <w:spacing w:after="0" w:line="240" w:lineRule="auto"/>
              <w:jc w:val="center"/>
              <w:rPr>
                <w:rFonts w:ascii="Arial" w:eastAsia="Times New Roman" w:hAnsi="Arial" w:cs="Arial"/>
                <w:bCs/>
                <w:sz w:val="20"/>
                <w:szCs w:val="20"/>
                <w:lang w:val="sr-Latn-ME"/>
              </w:rPr>
            </w:pPr>
            <w:r w:rsidRPr="003341AF">
              <w:rPr>
                <w:rFonts w:ascii="Arial" w:eastAsia="Times New Roman" w:hAnsi="Arial" w:cs="Arial"/>
                <w:bCs/>
                <w:sz w:val="20"/>
                <w:szCs w:val="20"/>
                <w:lang w:val="sr-Latn-ME"/>
              </w:rPr>
              <w:t>4</w:t>
            </w:r>
          </w:p>
        </w:tc>
        <w:tc>
          <w:tcPr>
            <w:tcW w:w="1984" w:type="dxa"/>
            <w:tcBorders>
              <w:top w:val="single" w:sz="4" w:space="0" w:color="000000"/>
              <w:left w:val="single" w:sz="4" w:space="0" w:color="000000"/>
              <w:bottom w:val="single" w:sz="4" w:space="0" w:color="000000"/>
              <w:right w:val="single" w:sz="4" w:space="0" w:color="000000"/>
            </w:tcBorders>
            <w:vAlign w:val="center"/>
          </w:tcPr>
          <w:p w:rsidR="001B2128" w:rsidRPr="003341AF" w:rsidRDefault="001B2128" w:rsidP="00291635">
            <w:pPr>
              <w:autoSpaceDE w:val="0"/>
              <w:autoSpaceDN w:val="0"/>
              <w:adjustRightInd w:val="0"/>
              <w:spacing w:after="0" w:line="240" w:lineRule="auto"/>
              <w:jc w:val="both"/>
              <w:rPr>
                <w:rFonts w:ascii="Arial" w:eastAsia="Calibri" w:hAnsi="Arial" w:cs="Arial"/>
                <w:sz w:val="20"/>
                <w:szCs w:val="20"/>
                <w:lang w:val="sr-Latn-ME"/>
              </w:rPr>
            </w:pPr>
            <w:r w:rsidRPr="003341AF">
              <w:rPr>
                <w:rFonts w:ascii="Arial" w:eastAsia="Calibri" w:hAnsi="Arial" w:cs="Arial"/>
                <w:sz w:val="20"/>
                <w:szCs w:val="20"/>
                <w:lang w:val="sr-Latn-ME"/>
              </w:rPr>
              <w:t>Zakon o slobodnom pristupu informacijama</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128" w:rsidRPr="003341AF" w:rsidRDefault="001B2128" w:rsidP="00291635">
            <w:pPr>
              <w:autoSpaceDE w:val="0"/>
              <w:autoSpaceDN w:val="0"/>
              <w:adjustRightInd w:val="0"/>
              <w:spacing w:after="0" w:line="240" w:lineRule="auto"/>
              <w:jc w:val="both"/>
              <w:rPr>
                <w:rFonts w:ascii="Arial" w:eastAsia="Calibri" w:hAnsi="Arial" w:cs="Arial"/>
                <w:sz w:val="20"/>
                <w:szCs w:val="20"/>
                <w:lang w:val="sr-Latn-ME"/>
              </w:rPr>
            </w:pPr>
            <w:r w:rsidRPr="003341AF">
              <w:rPr>
                <w:rFonts w:ascii="Arial" w:eastAsia="Calibri" w:hAnsi="Arial" w:cs="Arial"/>
                <w:sz w:val="20"/>
                <w:szCs w:val="20"/>
                <w:lang w:val="sr-Latn-ME"/>
              </w:rPr>
              <w:t>Edukacija lica zaduženog za slobodan pristup informacijama kao i drugih zaposlenih koji daju informacije</w:t>
            </w:r>
          </w:p>
          <w:p w:rsidR="001B2128" w:rsidRPr="003341AF" w:rsidRDefault="001B2128" w:rsidP="00291635">
            <w:pPr>
              <w:autoSpaceDE w:val="0"/>
              <w:autoSpaceDN w:val="0"/>
              <w:adjustRightInd w:val="0"/>
              <w:spacing w:after="0" w:line="240" w:lineRule="auto"/>
              <w:jc w:val="both"/>
              <w:rPr>
                <w:rFonts w:ascii="Arial" w:eastAsia="Calibri" w:hAnsi="Arial" w:cs="Arial"/>
                <w:sz w:val="20"/>
                <w:szCs w:val="20"/>
                <w:lang w:val="sr-Latn-ME"/>
              </w:rPr>
            </w:pPr>
          </w:p>
          <w:p w:rsidR="001B2128" w:rsidRPr="003341AF" w:rsidRDefault="001B2128" w:rsidP="00291635">
            <w:pPr>
              <w:autoSpaceDE w:val="0"/>
              <w:autoSpaceDN w:val="0"/>
              <w:adjustRightInd w:val="0"/>
              <w:spacing w:after="0" w:line="240" w:lineRule="auto"/>
              <w:jc w:val="both"/>
              <w:rPr>
                <w:rFonts w:ascii="Arial" w:eastAsia="Calibri" w:hAnsi="Arial" w:cs="Arial"/>
                <w:sz w:val="20"/>
                <w:szCs w:val="20"/>
                <w:lang w:val="sr-Latn-ME"/>
              </w:rPr>
            </w:pPr>
            <w:r w:rsidRPr="003341AF">
              <w:rPr>
                <w:rFonts w:ascii="Arial" w:eastAsia="Calibri" w:hAnsi="Arial" w:cs="Arial"/>
                <w:sz w:val="20"/>
                <w:szCs w:val="20"/>
                <w:lang w:val="sr-Latn-ME"/>
              </w:rPr>
              <w:t>Donošenje Rješenja u zakonom utvrđenom roku</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128" w:rsidRPr="003341AF" w:rsidRDefault="001B2128" w:rsidP="00291635">
            <w:pPr>
              <w:spacing w:after="0" w:line="240" w:lineRule="auto"/>
              <w:jc w:val="both"/>
              <w:rPr>
                <w:rFonts w:ascii="Arial" w:eastAsia="Calibri" w:hAnsi="Arial" w:cs="Arial"/>
                <w:sz w:val="20"/>
                <w:szCs w:val="20"/>
                <w:lang w:val="sr-Latn-ME"/>
              </w:rPr>
            </w:pPr>
          </w:p>
          <w:p w:rsidR="001B2128" w:rsidRPr="003341AF" w:rsidRDefault="001B2128" w:rsidP="00291635">
            <w:pPr>
              <w:spacing w:after="0" w:line="240" w:lineRule="auto"/>
              <w:jc w:val="both"/>
              <w:rPr>
                <w:rFonts w:ascii="Arial" w:eastAsia="Calibri" w:hAnsi="Arial" w:cs="Arial"/>
                <w:sz w:val="20"/>
                <w:szCs w:val="20"/>
                <w:lang w:val="sr-Latn-ME"/>
              </w:rPr>
            </w:pPr>
            <w:r w:rsidRPr="003341AF">
              <w:rPr>
                <w:rFonts w:ascii="Arial" w:eastAsia="Calibri" w:hAnsi="Arial" w:cs="Arial"/>
                <w:sz w:val="20"/>
                <w:szCs w:val="20"/>
                <w:lang w:val="sr-Latn-ME"/>
              </w:rPr>
              <w:t>Načelnica Službe za opšte poslove i finasije</w:t>
            </w:r>
          </w:p>
          <w:p w:rsidR="001B2128" w:rsidRPr="003341AF" w:rsidRDefault="001B2128" w:rsidP="00291635">
            <w:pPr>
              <w:spacing w:after="0" w:line="240" w:lineRule="auto"/>
              <w:jc w:val="both"/>
              <w:rPr>
                <w:rFonts w:ascii="Arial" w:eastAsia="Calibri" w:hAnsi="Arial" w:cs="Arial"/>
                <w:sz w:val="20"/>
                <w:szCs w:val="20"/>
                <w:lang w:val="sr-Latn-ME"/>
              </w:rPr>
            </w:pPr>
          </w:p>
          <w:p w:rsidR="001B2128" w:rsidRPr="003341AF" w:rsidRDefault="001B2128" w:rsidP="00291635">
            <w:pPr>
              <w:spacing w:after="0" w:line="240" w:lineRule="auto"/>
              <w:jc w:val="both"/>
              <w:rPr>
                <w:rFonts w:ascii="Arial" w:eastAsia="Calibri" w:hAnsi="Arial" w:cs="Arial"/>
                <w:sz w:val="20"/>
                <w:szCs w:val="20"/>
                <w:lang w:val="sr-Latn-ME"/>
              </w:rPr>
            </w:pPr>
            <w:r w:rsidRPr="003341AF">
              <w:rPr>
                <w:rFonts w:ascii="Arial" w:eastAsia="Calibri" w:hAnsi="Arial" w:cs="Arial"/>
                <w:sz w:val="20"/>
                <w:szCs w:val="20"/>
                <w:lang w:val="sr-Latn-ME"/>
              </w:rPr>
              <w:t>Svi zaposleni koji imaju u posjedu informacije</w:t>
            </w:r>
          </w:p>
          <w:p w:rsidR="001B2128" w:rsidRPr="003341AF" w:rsidRDefault="001B2128" w:rsidP="00291635">
            <w:pPr>
              <w:spacing w:after="0" w:line="240" w:lineRule="auto"/>
              <w:jc w:val="both"/>
              <w:rPr>
                <w:rFonts w:ascii="Arial" w:eastAsia="Calibri" w:hAnsi="Arial" w:cs="Arial"/>
                <w:sz w:val="20"/>
                <w:szCs w:val="20"/>
                <w:lang w:val="sr-Latn-ME"/>
              </w:rPr>
            </w:pPr>
          </w:p>
          <w:p w:rsidR="001B2128" w:rsidRPr="003341AF" w:rsidRDefault="001B2128" w:rsidP="00291635">
            <w:pPr>
              <w:spacing w:after="0" w:line="240" w:lineRule="auto"/>
              <w:jc w:val="both"/>
              <w:rPr>
                <w:rFonts w:ascii="Arial" w:eastAsia="Calibri" w:hAnsi="Arial" w:cs="Arial"/>
                <w:sz w:val="20"/>
                <w:szCs w:val="20"/>
                <w:lang w:val="sr-Latn-ME"/>
              </w:rPr>
            </w:pPr>
          </w:p>
          <w:p w:rsidR="001B2128" w:rsidRPr="003341AF" w:rsidRDefault="001B2128" w:rsidP="00291635">
            <w:pPr>
              <w:spacing w:after="0" w:line="240" w:lineRule="auto"/>
              <w:jc w:val="both"/>
              <w:rPr>
                <w:rFonts w:ascii="Arial" w:eastAsia="Calibri" w:hAnsi="Arial" w:cs="Arial"/>
                <w:sz w:val="20"/>
                <w:szCs w:val="20"/>
                <w:lang w:val="sr-Latn-ME"/>
              </w:rPr>
            </w:pPr>
          </w:p>
          <w:p w:rsidR="001B2128" w:rsidRPr="003341AF" w:rsidRDefault="001B2128" w:rsidP="00291635">
            <w:pPr>
              <w:spacing w:after="0" w:line="240" w:lineRule="auto"/>
              <w:jc w:val="both"/>
              <w:rPr>
                <w:rFonts w:ascii="Arial" w:eastAsia="Calibri" w:hAnsi="Arial" w:cs="Arial"/>
                <w:sz w:val="20"/>
                <w:szCs w:val="20"/>
                <w:lang w:val="sr-Latn-ME"/>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128" w:rsidRPr="003341AF" w:rsidRDefault="001B2128" w:rsidP="00291635">
            <w:pPr>
              <w:spacing w:after="0" w:line="360" w:lineRule="auto"/>
              <w:jc w:val="both"/>
              <w:rPr>
                <w:rFonts w:ascii="Arial" w:eastAsia="Calibri" w:hAnsi="Arial" w:cs="Arial"/>
                <w:sz w:val="20"/>
                <w:szCs w:val="20"/>
                <w:lang w:val="sr-Latn-ME"/>
              </w:rPr>
            </w:pPr>
            <w:r w:rsidRPr="003341AF">
              <w:rPr>
                <w:rFonts w:ascii="Arial" w:eastAsia="Calibri" w:hAnsi="Arial" w:cs="Arial"/>
                <w:sz w:val="20"/>
                <w:szCs w:val="20"/>
                <w:lang w:val="sr-Latn-ME"/>
              </w:rPr>
              <w:t>Svakodnevno</w:t>
            </w:r>
          </w:p>
        </w:tc>
      </w:tr>
      <w:tr w:rsidR="001B2128" w:rsidRPr="003341AF" w:rsidTr="00291635">
        <w:trPr>
          <w:cantSplit/>
          <w:trHeight w:val="1962"/>
        </w:trPr>
        <w:tc>
          <w:tcPr>
            <w:tcW w:w="568" w:type="dxa"/>
            <w:shd w:val="clear" w:color="auto" w:fill="auto"/>
            <w:vAlign w:val="center"/>
          </w:tcPr>
          <w:p w:rsidR="001B2128" w:rsidRPr="003341AF" w:rsidRDefault="001B2128" w:rsidP="00291635">
            <w:pPr>
              <w:spacing w:after="0" w:line="360" w:lineRule="auto"/>
              <w:jc w:val="center"/>
              <w:rPr>
                <w:rFonts w:ascii="Arial" w:eastAsia="Times New Roman" w:hAnsi="Arial" w:cs="Arial"/>
                <w:bCs/>
                <w:sz w:val="20"/>
                <w:szCs w:val="20"/>
                <w:lang w:val="sr-Latn-ME"/>
              </w:rPr>
            </w:pPr>
            <w:r w:rsidRPr="003341AF">
              <w:rPr>
                <w:rFonts w:ascii="Arial" w:eastAsia="Times New Roman" w:hAnsi="Arial" w:cs="Arial"/>
                <w:bCs/>
                <w:sz w:val="20"/>
                <w:szCs w:val="20"/>
                <w:lang w:val="sr-Latn-ME"/>
              </w:rPr>
              <w:t>7.</w:t>
            </w:r>
          </w:p>
        </w:tc>
        <w:tc>
          <w:tcPr>
            <w:tcW w:w="2238" w:type="dxa"/>
            <w:shd w:val="clear" w:color="auto" w:fill="auto"/>
            <w:vAlign w:val="center"/>
          </w:tcPr>
          <w:p w:rsidR="001B2128" w:rsidRPr="003341AF" w:rsidRDefault="001B2128" w:rsidP="00291635">
            <w:pPr>
              <w:autoSpaceDE w:val="0"/>
              <w:autoSpaceDN w:val="0"/>
              <w:adjustRightInd w:val="0"/>
              <w:spacing w:after="0" w:line="240" w:lineRule="auto"/>
              <w:jc w:val="both"/>
              <w:rPr>
                <w:rFonts w:ascii="Arial" w:eastAsia="Calibri" w:hAnsi="Arial" w:cs="Arial"/>
                <w:color w:val="000000"/>
                <w:sz w:val="20"/>
                <w:szCs w:val="20"/>
                <w:lang w:val="sr-Latn-ME"/>
              </w:rPr>
            </w:pPr>
            <w:r w:rsidRPr="003341AF">
              <w:rPr>
                <w:rFonts w:ascii="Arial" w:eastAsia="Calibri" w:hAnsi="Arial" w:cs="Arial"/>
                <w:sz w:val="20"/>
                <w:szCs w:val="20"/>
                <w:lang w:val="sr-Latn-ME"/>
              </w:rPr>
              <w:t>Donošenje Plana javnih nabavki sa zakašnjenjem</w:t>
            </w:r>
          </w:p>
        </w:tc>
        <w:tc>
          <w:tcPr>
            <w:tcW w:w="1843" w:type="dxa"/>
            <w:shd w:val="clear" w:color="auto" w:fill="auto"/>
            <w:vAlign w:val="center"/>
          </w:tcPr>
          <w:p w:rsidR="001B2128" w:rsidRPr="003341AF" w:rsidRDefault="001B2128" w:rsidP="00291635">
            <w:pPr>
              <w:autoSpaceDE w:val="0"/>
              <w:autoSpaceDN w:val="0"/>
              <w:adjustRightInd w:val="0"/>
              <w:spacing w:after="0" w:line="240" w:lineRule="atLeast"/>
              <w:jc w:val="center"/>
              <w:rPr>
                <w:rFonts w:ascii="Arial" w:eastAsia="Calibri" w:hAnsi="Arial" w:cs="Arial"/>
                <w:sz w:val="20"/>
                <w:szCs w:val="20"/>
                <w:lang w:val="sr-Latn-ME"/>
              </w:rPr>
            </w:pPr>
            <w:r w:rsidRPr="003341AF">
              <w:rPr>
                <w:rFonts w:ascii="Arial" w:eastAsia="Calibri" w:hAnsi="Arial" w:cs="Arial"/>
                <w:sz w:val="20"/>
                <w:szCs w:val="20"/>
                <w:lang w:val="sr-Latn-ME"/>
              </w:rPr>
              <w:t>Zakonski,</w:t>
            </w:r>
          </w:p>
          <w:p w:rsidR="001B2128" w:rsidRPr="003341AF" w:rsidRDefault="001B2128" w:rsidP="00291635">
            <w:pPr>
              <w:autoSpaceDE w:val="0"/>
              <w:autoSpaceDN w:val="0"/>
              <w:adjustRightInd w:val="0"/>
              <w:spacing w:after="0" w:line="240" w:lineRule="atLeast"/>
              <w:jc w:val="center"/>
              <w:rPr>
                <w:rFonts w:ascii="Arial" w:eastAsia="Calibri" w:hAnsi="Arial" w:cs="Arial"/>
                <w:sz w:val="20"/>
                <w:szCs w:val="20"/>
                <w:highlight w:val="yellow"/>
                <w:lang w:val="sr-Latn-ME"/>
              </w:rPr>
            </w:pPr>
            <w:r w:rsidRPr="003341AF">
              <w:rPr>
                <w:rFonts w:ascii="Arial" w:eastAsia="Calibri" w:hAnsi="Arial" w:cs="Arial"/>
                <w:sz w:val="20"/>
                <w:szCs w:val="20"/>
                <w:lang w:val="sr-Latn-ME"/>
              </w:rPr>
              <w:t>finansijski</w:t>
            </w:r>
          </w:p>
        </w:tc>
        <w:tc>
          <w:tcPr>
            <w:tcW w:w="708" w:type="dxa"/>
            <w:tcBorders>
              <w:top w:val="single" w:sz="4" w:space="0" w:color="auto"/>
              <w:bottom w:val="single" w:sz="4" w:space="0" w:color="auto"/>
              <w:right w:val="single" w:sz="4" w:space="0" w:color="auto"/>
            </w:tcBorders>
            <w:shd w:val="clear" w:color="auto" w:fill="auto"/>
            <w:vAlign w:val="center"/>
          </w:tcPr>
          <w:p w:rsidR="001B2128" w:rsidRPr="003341AF" w:rsidRDefault="001B2128" w:rsidP="00291635">
            <w:pPr>
              <w:spacing w:after="0" w:line="240" w:lineRule="auto"/>
              <w:jc w:val="center"/>
              <w:rPr>
                <w:rFonts w:ascii="Arial" w:eastAsia="Times New Roman" w:hAnsi="Arial" w:cs="Arial"/>
                <w:bCs/>
                <w:sz w:val="20"/>
                <w:szCs w:val="20"/>
                <w:lang w:val="sr-Latn-ME"/>
              </w:rPr>
            </w:pPr>
            <w:r w:rsidRPr="003341AF">
              <w:rPr>
                <w:rFonts w:ascii="Arial" w:eastAsia="Times New Roman" w:hAnsi="Arial" w:cs="Arial"/>
                <w:bCs/>
                <w:sz w:val="20"/>
                <w:szCs w:val="20"/>
                <w:lang w:val="sr-Latn-ME"/>
              </w:rPr>
              <w:t>4</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1B2128" w:rsidRPr="003341AF" w:rsidRDefault="001B2128" w:rsidP="00291635">
            <w:pPr>
              <w:spacing w:after="0" w:line="240" w:lineRule="auto"/>
              <w:jc w:val="center"/>
              <w:rPr>
                <w:rFonts w:ascii="Arial" w:eastAsia="Times New Roman" w:hAnsi="Arial" w:cs="Arial"/>
                <w:bCs/>
                <w:sz w:val="20"/>
                <w:szCs w:val="20"/>
                <w:lang w:val="sr-Latn-ME"/>
              </w:rPr>
            </w:pPr>
            <w:r w:rsidRPr="003341AF">
              <w:rPr>
                <w:rFonts w:ascii="Arial" w:eastAsia="Times New Roman" w:hAnsi="Arial" w:cs="Arial"/>
                <w:bCs/>
                <w:sz w:val="20"/>
                <w:szCs w:val="20"/>
                <w:lang w:val="sr-Latn-ME"/>
              </w:rPr>
              <w:t>1</w:t>
            </w:r>
          </w:p>
        </w:tc>
        <w:tc>
          <w:tcPr>
            <w:tcW w:w="851" w:type="dxa"/>
            <w:gridSpan w:val="2"/>
            <w:tcBorders>
              <w:top w:val="single" w:sz="4" w:space="0" w:color="auto"/>
              <w:left w:val="single" w:sz="4" w:space="0" w:color="auto"/>
              <w:bottom w:val="single" w:sz="4" w:space="0" w:color="auto"/>
            </w:tcBorders>
            <w:shd w:val="clear" w:color="auto" w:fill="auto"/>
            <w:vAlign w:val="center"/>
          </w:tcPr>
          <w:p w:rsidR="001B2128" w:rsidRPr="003341AF" w:rsidRDefault="001B2128" w:rsidP="00291635">
            <w:pPr>
              <w:spacing w:after="0" w:line="240" w:lineRule="auto"/>
              <w:jc w:val="center"/>
              <w:rPr>
                <w:rFonts w:ascii="Arial" w:eastAsia="Times New Roman" w:hAnsi="Arial" w:cs="Arial"/>
                <w:bCs/>
                <w:sz w:val="20"/>
                <w:szCs w:val="20"/>
                <w:lang w:val="sr-Latn-ME"/>
              </w:rPr>
            </w:pPr>
            <w:r w:rsidRPr="003341AF">
              <w:rPr>
                <w:rFonts w:ascii="Arial" w:eastAsia="Times New Roman" w:hAnsi="Arial" w:cs="Arial"/>
                <w:bCs/>
                <w:sz w:val="20"/>
                <w:szCs w:val="20"/>
                <w:lang w:val="sr-Latn-ME"/>
              </w:rPr>
              <w:t>4</w:t>
            </w:r>
          </w:p>
        </w:tc>
        <w:tc>
          <w:tcPr>
            <w:tcW w:w="1984" w:type="dxa"/>
            <w:vAlign w:val="center"/>
          </w:tcPr>
          <w:p w:rsidR="001B2128" w:rsidRPr="003341AF" w:rsidRDefault="001B2128" w:rsidP="00291635">
            <w:pPr>
              <w:autoSpaceDE w:val="0"/>
              <w:autoSpaceDN w:val="0"/>
              <w:adjustRightInd w:val="0"/>
              <w:spacing w:after="0" w:line="240" w:lineRule="auto"/>
              <w:jc w:val="both"/>
              <w:rPr>
                <w:rFonts w:ascii="Arial" w:eastAsia="Calibri" w:hAnsi="Arial" w:cs="Arial"/>
                <w:sz w:val="20"/>
                <w:szCs w:val="20"/>
                <w:lang w:val="sr-Latn-ME"/>
              </w:rPr>
            </w:pPr>
            <w:r w:rsidRPr="003341AF">
              <w:rPr>
                <w:rFonts w:ascii="Arial" w:eastAsia="Calibri" w:hAnsi="Arial" w:cs="Arial"/>
                <w:sz w:val="20"/>
                <w:szCs w:val="20"/>
                <w:lang w:val="sr-Latn-ME"/>
              </w:rPr>
              <w:t>Zakon o javnim nabavkama</w:t>
            </w:r>
          </w:p>
          <w:p w:rsidR="001B2128" w:rsidRPr="003341AF" w:rsidRDefault="001B2128" w:rsidP="00291635">
            <w:pPr>
              <w:autoSpaceDE w:val="0"/>
              <w:autoSpaceDN w:val="0"/>
              <w:adjustRightInd w:val="0"/>
              <w:spacing w:after="0" w:line="240" w:lineRule="auto"/>
              <w:jc w:val="both"/>
              <w:rPr>
                <w:rFonts w:ascii="Arial" w:eastAsia="Calibri" w:hAnsi="Arial" w:cs="Arial"/>
                <w:sz w:val="20"/>
                <w:szCs w:val="20"/>
                <w:lang w:val="sr-Latn-ME"/>
              </w:rPr>
            </w:pPr>
          </w:p>
          <w:p w:rsidR="001B2128" w:rsidRPr="003341AF" w:rsidRDefault="001B2128" w:rsidP="00291635">
            <w:pPr>
              <w:spacing w:after="0" w:line="240" w:lineRule="auto"/>
              <w:jc w:val="both"/>
              <w:rPr>
                <w:rFonts w:ascii="Arial" w:eastAsia="Calibri" w:hAnsi="Arial" w:cs="Arial"/>
                <w:sz w:val="20"/>
                <w:szCs w:val="20"/>
                <w:lang w:val="sr-Latn-ME"/>
              </w:rPr>
            </w:pPr>
            <w:r w:rsidRPr="003341AF">
              <w:rPr>
                <w:rFonts w:ascii="Arial" w:eastAsia="Calibri" w:hAnsi="Arial" w:cs="Arial"/>
                <w:sz w:val="20"/>
                <w:szCs w:val="20"/>
                <w:lang w:val="sr-Latn-ME"/>
              </w:rPr>
              <w:t>Pravilnik za postupak izrade i praćenje realizacije plana javnih nabavki</w:t>
            </w:r>
          </w:p>
        </w:tc>
        <w:tc>
          <w:tcPr>
            <w:tcW w:w="2410" w:type="dxa"/>
            <w:shd w:val="clear" w:color="auto" w:fill="auto"/>
            <w:vAlign w:val="center"/>
          </w:tcPr>
          <w:p w:rsidR="001B2128" w:rsidRPr="003341AF" w:rsidRDefault="001B2128" w:rsidP="00291635">
            <w:pPr>
              <w:autoSpaceDE w:val="0"/>
              <w:autoSpaceDN w:val="0"/>
              <w:adjustRightInd w:val="0"/>
              <w:spacing w:after="0" w:line="240" w:lineRule="auto"/>
              <w:jc w:val="both"/>
              <w:rPr>
                <w:rFonts w:ascii="Arial" w:eastAsia="Calibri" w:hAnsi="Arial" w:cs="Arial"/>
                <w:sz w:val="20"/>
                <w:szCs w:val="20"/>
                <w:lang w:val="sr-Latn-ME"/>
              </w:rPr>
            </w:pPr>
            <w:r w:rsidRPr="003341AF">
              <w:rPr>
                <w:rFonts w:ascii="Arial" w:eastAsia="Calibri" w:hAnsi="Arial" w:cs="Arial"/>
                <w:sz w:val="20"/>
                <w:szCs w:val="20"/>
                <w:lang w:val="sr-Latn-ME"/>
              </w:rPr>
              <w:t>Poznavanje Zakona o javnim nabavkama i internog akta Ministarstva</w:t>
            </w:r>
          </w:p>
          <w:p w:rsidR="001B2128" w:rsidRPr="003341AF" w:rsidRDefault="001B2128" w:rsidP="00291635">
            <w:pPr>
              <w:autoSpaceDE w:val="0"/>
              <w:autoSpaceDN w:val="0"/>
              <w:adjustRightInd w:val="0"/>
              <w:spacing w:after="0" w:line="240" w:lineRule="auto"/>
              <w:jc w:val="both"/>
              <w:rPr>
                <w:rFonts w:ascii="Arial" w:eastAsia="Calibri" w:hAnsi="Arial" w:cs="Arial"/>
                <w:sz w:val="20"/>
                <w:szCs w:val="20"/>
                <w:lang w:val="sr-Latn-ME"/>
              </w:rPr>
            </w:pPr>
          </w:p>
          <w:p w:rsidR="001B2128" w:rsidRPr="003341AF" w:rsidRDefault="001B2128" w:rsidP="00291635">
            <w:pPr>
              <w:autoSpaceDE w:val="0"/>
              <w:autoSpaceDN w:val="0"/>
              <w:adjustRightInd w:val="0"/>
              <w:spacing w:after="0" w:line="240" w:lineRule="auto"/>
              <w:jc w:val="both"/>
              <w:rPr>
                <w:rFonts w:ascii="Arial" w:eastAsia="Calibri" w:hAnsi="Arial" w:cs="Arial"/>
                <w:color w:val="000000"/>
                <w:sz w:val="20"/>
                <w:szCs w:val="20"/>
                <w:lang w:val="sr-Latn-ME"/>
              </w:rPr>
            </w:pPr>
          </w:p>
        </w:tc>
        <w:tc>
          <w:tcPr>
            <w:tcW w:w="1701" w:type="dxa"/>
            <w:shd w:val="clear" w:color="auto" w:fill="auto"/>
            <w:vAlign w:val="center"/>
          </w:tcPr>
          <w:p w:rsidR="001B2128" w:rsidRPr="003341AF" w:rsidRDefault="001B2128" w:rsidP="00291635">
            <w:pPr>
              <w:spacing w:after="0" w:line="240" w:lineRule="auto"/>
              <w:jc w:val="both"/>
              <w:rPr>
                <w:rFonts w:ascii="Arial" w:eastAsia="Calibri" w:hAnsi="Arial" w:cs="Arial"/>
                <w:sz w:val="20"/>
                <w:szCs w:val="20"/>
                <w:lang w:val="sr-Latn-ME"/>
              </w:rPr>
            </w:pPr>
          </w:p>
          <w:p w:rsidR="001B2128" w:rsidRPr="003341AF" w:rsidRDefault="001B2128" w:rsidP="00291635">
            <w:pPr>
              <w:spacing w:after="0" w:line="240" w:lineRule="auto"/>
              <w:jc w:val="both"/>
              <w:rPr>
                <w:rFonts w:ascii="Arial" w:eastAsia="Calibri" w:hAnsi="Arial" w:cs="Arial"/>
                <w:sz w:val="20"/>
                <w:szCs w:val="20"/>
                <w:lang w:val="sr-Latn-ME"/>
              </w:rPr>
            </w:pPr>
            <w:r w:rsidRPr="003341AF">
              <w:rPr>
                <w:rFonts w:ascii="Arial" w:eastAsia="Calibri" w:hAnsi="Arial" w:cs="Arial"/>
                <w:sz w:val="20"/>
                <w:szCs w:val="20"/>
                <w:lang w:val="sr-Latn-ME"/>
              </w:rPr>
              <w:t>Direktor</w:t>
            </w:r>
          </w:p>
          <w:p w:rsidR="001B2128" w:rsidRPr="003341AF" w:rsidRDefault="001B2128" w:rsidP="00291635">
            <w:pPr>
              <w:spacing w:after="0" w:line="240" w:lineRule="auto"/>
              <w:jc w:val="both"/>
              <w:rPr>
                <w:rFonts w:ascii="Arial" w:eastAsia="Calibri" w:hAnsi="Arial" w:cs="Arial"/>
                <w:sz w:val="20"/>
                <w:szCs w:val="20"/>
                <w:lang w:val="sr-Latn-ME"/>
              </w:rPr>
            </w:pPr>
          </w:p>
          <w:p w:rsidR="001B2128" w:rsidRPr="003341AF" w:rsidRDefault="001B2128" w:rsidP="00291635">
            <w:pPr>
              <w:spacing w:after="0" w:line="240" w:lineRule="auto"/>
              <w:jc w:val="both"/>
              <w:rPr>
                <w:rFonts w:ascii="Arial" w:eastAsia="Calibri" w:hAnsi="Arial" w:cs="Arial"/>
                <w:sz w:val="20"/>
                <w:szCs w:val="20"/>
                <w:lang w:val="sr-Latn-ME"/>
              </w:rPr>
            </w:pPr>
            <w:r w:rsidRPr="003341AF">
              <w:rPr>
                <w:rFonts w:ascii="Arial" w:eastAsia="Calibri" w:hAnsi="Arial" w:cs="Arial"/>
                <w:sz w:val="20"/>
                <w:szCs w:val="20"/>
                <w:lang w:val="sr-Latn-ME"/>
              </w:rPr>
              <w:t>Rukovodioci organizacionih jedinica</w:t>
            </w:r>
          </w:p>
          <w:p w:rsidR="001B2128" w:rsidRPr="003341AF" w:rsidRDefault="001B2128" w:rsidP="00291635">
            <w:pPr>
              <w:spacing w:after="0" w:line="240" w:lineRule="auto"/>
              <w:jc w:val="both"/>
              <w:rPr>
                <w:rFonts w:ascii="Arial" w:eastAsia="Calibri" w:hAnsi="Arial" w:cs="Arial"/>
                <w:sz w:val="20"/>
                <w:szCs w:val="20"/>
                <w:lang w:val="sr-Latn-ME"/>
              </w:rPr>
            </w:pPr>
          </w:p>
          <w:p w:rsidR="001B2128" w:rsidRPr="003341AF" w:rsidRDefault="001B2128" w:rsidP="00291635">
            <w:pPr>
              <w:spacing w:after="0" w:line="240" w:lineRule="auto"/>
              <w:jc w:val="both"/>
              <w:rPr>
                <w:rFonts w:ascii="Arial" w:eastAsia="Calibri" w:hAnsi="Arial" w:cs="Arial"/>
                <w:sz w:val="20"/>
                <w:szCs w:val="20"/>
                <w:lang w:val="sr-Latn-ME"/>
              </w:rPr>
            </w:pPr>
            <w:r w:rsidRPr="003341AF">
              <w:rPr>
                <w:rFonts w:ascii="Arial" w:eastAsia="Calibri" w:hAnsi="Arial" w:cs="Arial"/>
                <w:sz w:val="20"/>
                <w:szCs w:val="20"/>
                <w:lang w:val="sr-Latn-ME"/>
              </w:rPr>
              <w:t>Službenik za javne nabavke</w:t>
            </w:r>
          </w:p>
          <w:p w:rsidR="001B2128" w:rsidRPr="003341AF" w:rsidRDefault="001B2128" w:rsidP="00291635">
            <w:pPr>
              <w:spacing w:after="0" w:line="240" w:lineRule="auto"/>
              <w:jc w:val="both"/>
              <w:rPr>
                <w:rFonts w:ascii="Arial" w:eastAsia="Calibri" w:hAnsi="Arial" w:cs="Arial"/>
                <w:sz w:val="20"/>
                <w:szCs w:val="20"/>
                <w:highlight w:val="yellow"/>
                <w:lang w:val="sr-Latn-ME"/>
              </w:rPr>
            </w:pPr>
          </w:p>
        </w:tc>
        <w:tc>
          <w:tcPr>
            <w:tcW w:w="1531" w:type="dxa"/>
            <w:shd w:val="clear" w:color="auto" w:fill="auto"/>
            <w:vAlign w:val="center"/>
          </w:tcPr>
          <w:p w:rsidR="001B2128" w:rsidRPr="003341AF" w:rsidRDefault="001B2128" w:rsidP="00291635">
            <w:pPr>
              <w:spacing w:after="0" w:line="360" w:lineRule="auto"/>
              <w:jc w:val="both"/>
              <w:rPr>
                <w:rFonts w:ascii="Arial" w:eastAsia="Calibri" w:hAnsi="Arial" w:cs="Arial"/>
                <w:sz w:val="20"/>
                <w:szCs w:val="20"/>
                <w:lang w:val="sr-Latn-ME"/>
              </w:rPr>
            </w:pPr>
            <w:r w:rsidRPr="003341AF">
              <w:rPr>
                <w:rFonts w:ascii="Arial" w:eastAsia="Calibri" w:hAnsi="Arial" w:cs="Arial"/>
                <w:sz w:val="20"/>
                <w:szCs w:val="20"/>
                <w:lang w:val="sr-Latn-ME"/>
              </w:rPr>
              <w:t xml:space="preserve">I kvartal </w:t>
            </w:r>
          </w:p>
        </w:tc>
      </w:tr>
      <w:tr w:rsidR="001B2128" w:rsidRPr="003341AF" w:rsidTr="00291635">
        <w:trPr>
          <w:cantSplit/>
          <w:trHeight w:val="1962"/>
        </w:trPr>
        <w:tc>
          <w:tcPr>
            <w:tcW w:w="568" w:type="dxa"/>
            <w:shd w:val="clear" w:color="auto" w:fill="auto"/>
            <w:vAlign w:val="center"/>
          </w:tcPr>
          <w:p w:rsidR="001B2128" w:rsidRPr="003341AF" w:rsidRDefault="001B2128" w:rsidP="00291635">
            <w:pPr>
              <w:spacing w:after="0" w:line="360" w:lineRule="auto"/>
              <w:jc w:val="center"/>
              <w:rPr>
                <w:rFonts w:ascii="Arial" w:eastAsia="Times New Roman" w:hAnsi="Arial" w:cs="Arial"/>
                <w:bCs/>
                <w:sz w:val="20"/>
                <w:szCs w:val="20"/>
                <w:lang w:val="sr-Latn-ME"/>
              </w:rPr>
            </w:pPr>
          </w:p>
          <w:p w:rsidR="001B2128" w:rsidRPr="003341AF" w:rsidRDefault="001B2128" w:rsidP="00291635">
            <w:pPr>
              <w:spacing w:after="0" w:line="360" w:lineRule="auto"/>
              <w:jc w:val="center"/>
              <w:rPr>
                <w:rFonts w:ascii="Arial" w:eastAsia="Times New Roman" w:hAnsi="Arial" w:cs="Arial"/>
                <w:bCs/>
                <w:sz w:val="20"/>
                <w:szCs w:val="20"/>
                <w:lang w:val="sr-Latn-ME"/>
              </w:rPr>
            </w:pPr>
          </w:p>
          <w:p w:rsidR="001B2128" w:rsidRPr="003341AF" w:rsidRDefault="001B2128" w:rsidP="00291635">
            <w:pPr>
              <w:spacing w:after="0" w:line="360" w:lineRule="auto"/>
              <w:jc w:val="center"/>
              <w:rPr>
                <w:rFonts w:ascii="Arial" w:eastAsia="Times New Roman" w:hAnsi="Arial" w:cs="Arial"/>
                <w:bCs/>
                <w:sz w:val="20"/>
                <w:szCs w:val="20"/>
                <w:lang w:val="sr-Latn-ME"/>
              </w:rPr>
            </w:pPr>
            <w:r w:rsidRPr="003341AF">
              <w:rPr>
                <w:rFonts w:ascii="Arial" w:eastAsia="Times New Roman" w:hAnsi="Arial" w:cs="Arial"/>
                <w:bCs/>
                <w:sz w:val="20"/>
                <w:szCs w:val="20"/>
                <w:lang w:val="sr-Latn-ME"/>
              </w:rPr>
              <w:t>8.</w:t>
            </w:r>
          </w:p>
          <w:p w:rsidR="001B2128" w:rsidRPr="003341AF" w:rsidRDefault="001B2128" w:rsidP="00291635">
            <w:pPr>
              <w:spacing w:after="0" w:line="360" w:lineRule="auto"/>
              <w:jc w:val="center"/>
              <w:rPr>
                <w:rFonts w:ascii="Arial" w:eastAsia="Times New Roman" w:hAnsi="Arial" w:cs="Arial"/>
                <w:bCs/>
                <w:sz w:val="20"/>
                <w:szCs w:val="20"/>
                <w:lang w:val="sr-Latn-ME"/>
              </w:rPr>
            </w:pPr>
          </w:p>
        </w:tc>
        <w:tc>
          <w:tcPr>
            <w:tcW w:w="2238" w:type="dxa"/>
            <w:shd w:val="clear" w:color="auto" w:fill="auto"/>
            <w:vAlign w:val="center"/>
          </w:tcPr>
          <w:p w:rsidR="001B2128" w:rsidRPr="003341AF" w:rsidRDefault="001B2128" w:rsidP="00291635">
            <w:pPr>
              <w:pStyle w:val="Default"/>
              <w:jc w:val="both"/>
              <w:rPr>
                <w:rFonts w:ascii="Arial" w:hAnsi="Arial" w:cs="Arial"/>
                <w:sz w:val="20"/>
                <w:szCs w:val="20"/>
              </w:rPr>
            </w:pPr>
            <w:r w:rsidRPr="003341AF">
              <w:rPr>
                <w:rFonts w:ascii="Arial" w:hAnsi="Arial" w:cs="Arial"/>
                <w:sz w:val="20"/>
                <w:szCs w:val="20"/>
              </w:rPr>
              <w:t xml:space="preserve">Rizik od neodgovarajućih kvalifikacija prilikom zapošljavanja DSiN    </w:t>
            </w:r>
          </w:p>
        </w:tc>
        <w:tc>
          <w:tcPr>
            <w:tcW w:w="1843" w:type="dxa"/>
            <w:shd w:val="clear" w:color="auto" w:fill="auto"/>
            <w:vAlign w:val="center"/>
          </w:tcPr>
          <w:p w:rsidR="001B2128" w:rsidRPr="003341AF" w:rsidRDefault="001B2128" w:rsidP="00291635">
            <w:pPr>
              <w:autoSpaceDE w:val="0"/>
              <w:autoSpaceDN w:val="0"/>
              <w:adjustRightInd w:val="0"/>
              <w:spacing w:after="0" w:line="240" w:lineRule="atLeast"/>
              <w:jc w:val="center"/>
              <w:rPr>
                <w:rFonts w:ascii="Arial" w:eastAsia="Calibri" w:hAnsi="Arial" w:cs="Arial"/>
                <w:sz w:val="20"/>
                <w:szCs w:val="20"/>
                <w:lang w:val="sr-Latn-ME"/>
              </w:rPr>
            </w:pPr>
            <w:r w:rsidRPr="003341AF">
              <w:rPr>
                <w:rFonts w:ascii="Arial" w:eastAsia="Calibri" w:hAnsi="Arial" w:cs="Arial"/>
                <w:sz w:val="20"/>
                <w:szCs w:val="20"/>
                <w:lang w:val="sr-Latn-ME"/>
              </w:rPr>
              <w:t>Operativni</w:t>
            </w:r>
          </w:p>
        </w:tc>
        <w:tc>
          <w:tcPr>
            <w:tcW w:w="708" w:type="dxa"/>
            <w:tcBorders>
              <w:top w:val="single" w:sz="4" w:space="0" w:color="auto"/>
              <w:bottom w:val="single" w:sz="4" w:space="0" w:color="auto"/>
              <w:right w:val="single" w:sz="4" w:space="0" w:color="auto"/>
            </w:tcBorders>
            <w:shd w:val="clear" w:color="auto" w:fill="auto"/>
            <w:vAlign w:val="center"/>
          </w:tcPr>
          <w:p w:rsidR="001B2128" w:rsidRPr="003341AF" w:rsidRDefault="001B2128" w:rsidP="00291635">
            <w:pPr>
              <w:spacing w:after="0" w:line="240" w:lineRule="auto"/>
              <w:jc w:val="center"/>
              <w:rPr>
                <w:rFonts w:ascii="Arial" w:eastAsia="Times New Roman" w:hAnsi="Arial" w:cs="Arial"/>
                <w:bCs/>
                <w:sz w:val="20"/>
                <w:szCs w:val="20"/>
                <w:lang w:val="sr-Latn-ME"/>
              </w:rPr>
            </w:pPr>
            <w:r w:rsidRPr="003341AF">
              <w:rPr>
                <w:rFonts w:ascii="Arial" w:eastAsia="Times New Roman" w:hAnsi="Arial" w:cs="Arial"/>
                <w:bCs/>
                <w:sz w:val="20"/>
                <w:szCs w:val="20"/>
                <w:lang w:val="sr-Latn-ME"/>
              </w:rPr>
              <w:t>4</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1B2128" w:rsidRPr="003341AF" w:rsidRDefault="001B2128" w:rsidP="00291635">
            <w:pPr>
              <w:spacing w:after="0" w:line="240" w:lineRule="auto"/>
              <w:jc w:val="center"/>
              <w:rPr>
                <w:rFonts w:ascii="Arial" w:eastAsia="Times New Roman" w:hAnsi="Arial" w:cs="Arial"/>
                <w:bCs/>
                <w:sz w:val="20"/>
                <w:szCs w:val="20"/>
                <w:lang w:val="sr-Latn-ME"/>
              </w:rPr>
            </w:pPr>
            <w:r w:rsidRPr="003341AF">
              <w:rPr>
                <w:rFonts w:ascii="Arial" w:eastAsia="Times New Roman" w:hAnsi="Arial" w:cs="Arial"/>
                <w:bCs/>
                <w:sz w:val="20"/>
                <w:szCs w:val="20"/>
                <w:lang w:val="sr-Latn-ME"/>
              </w:rPr>
              <w:t>2</w:t>
            </w:r>
          </w:p>
        </w:tc>
        <w:tc>
          <w:tcPr>
            <w:tcW w:w="851" w:type="dxa"/>
            <w:gridSpan w:val="2"/>
            <w:tcBorders>
              <w:top w:val="single" w:sz="4" w:space="0" w:color="auto"/>
              <w:left w:val="single" w:sz="4" w:space="0" w:color="auto"/>
              <w:bottom w:val="single" w:sz="4" w:space="0" w:color="auto"/>
            </w:tcBorders>
            <w:shd w:val="clear" w:color="auto" w:fill="auto"/>
            <w:vAlign w:val="center"/>
          </w:tcPr>
          <w:p w:rsidR="001B2128" w:rsidRPr="003341AF" w:rsidRDefault="001B2128" w:rsidP="00291635">
            <w:pPr>
              <w:spacing w:after="0" w:line="240" w:lineRule="auto"/>
              <w:jc w:val="center"/>
              <w:rPr>
                <w:rFonts w:ascii="Arial" w:eastAsia="Times New Roman" w:hAnsi="Arial" w:cs="Arial"/>
                <w:bCs/>
                <w:sz w:val="20"/>
                <w:szCs w:val="20"/>
                <w:lang w:val="sr-Latn-ME"/>
              </w:rPr>
            </w:pPr>
            <w:r w:rsidRPr="003341AF">
              <w:rPr>
                <w:rFonts w:ascii="Arial" w:eastAsia="Times New Roman" w:hAnsi="Arial" w:cs="Arial"/>
                <w:bCs/>
                <w:sz w:val="20"/>
                <w:szCs w:val="20"/>
                <w:lang w:val="sr-Latn-ME"/>
              </w:rPr>
              <w:t>8</w:t>
            </w:r>
          </w:p>
        </w:tc>
        <w:tc>
          <w:tcPr>
            <w:tcW w:w="1984" w:type="dxa"/>
            <w:vAlign w:val="center"/>
          </w:tcPr>
          <w:p w:rsidR="001B2128" w:rsidRPr="003341AF" w:rsidRDefault="001B2128" w:rsidP="00291635">
            <w:pPr>
              <w:spacing w:after="0"/>
              <w:jc w:val="both"/>
              <w:rPr>
                <w:rFonts w:ascii="Arial" w:eastAsia="Calibri" w:hAnsi="Arial" w:cs="Arial"/>
                <w:sz w:val="20"/>
                <w:szCs w:val="20"/>
                <w:lang w:val="sr-Latn-ME"/>
              </w:rPr>
            </w:pPr>
            <w:r w:rsidRPr="003341AF">
              <w:rPr>
                <w:rFonts w:ascii="Arial" w:hAnsi="Arial" w:cs="Arial"/>
                <w:sz w:val="20"/>
                <w:szCs w:val="20"/>
                <w:lang w:val="sr-Latn-ME"/>
              </w:rPr>
              <w:t>Izmjene i dopune Pravilnika o unutrašnjoj organizaciji i sistematizaciji</w:t>
            </w:r>
          </w:p>
        </w:tc>
        <w:tc>
          <w:tcPr>
            <w:tcW w:w="2410" w:type="dxa"/>
            <w:shd w:val="clear" w:color="auto" w:fill="auto"/>
            <w:vAlign w:val="center"/>
          </w:tcPr>
          <w:p w:rsidR="001B2128" w:rsidRPr="003341AF" w:rsidRDefault="001B2128" w:rsidP="00291635">
            <w:pPr>
              <w:spacing w:after="0"/>
              <w:jc w:val="both"/>
              <w:rPr>
                <w:rFonts w:ascii="Arial" w:eastAsia="Calibri" w:hAnsi="Arial" w:cs="Arial"/>
                <w:sz w:val="20"/>
                <w:szCs w:val="20"/>
                <w:lang w:val="sr-Latn-ME"/>
              </w:rPr>
            </w:pPr>
            <w:r w:rsidRPr="003341AF">
              <w:rPr>
                <w:rFonts w:ascii="Arial" w:hAnsi="Arial" w:cs="Arial"/>
                <w:sz w:val="20"/>
                <w:szCs w:val="20"/>
                <w:lang w:val="sr-Latn-ME"/>
              </w:rPr>
              <w:t>Formiranje komisije iz Zavoda , koja bi dodatno procjenjivala potrebne kvalifikacije kandidata</w:t>
            </w:r>
          </w:p>
        </w:tc>
        <w:tc>
          <w:tcPr>
            <w:tcW w:w="1701" w:type="dxa"/>
            <w:shd w:val="clear" w:color="auto" w:fill="auto"/>
            <w:vAlign w:val="center"/>
          </w:tcPr>
          <w:p w:rsidR="001B2128" w:rsidRPr="003341AF" w:rsidRDefault="001B2128" w:rsidP="00291635">
            <w:pPr>
              <w:spacing w:after="0"/>
              <w:jc w:val="both"/>
              <w:rPr>
                <w:rFonts w:ascii="Arial" w:eastAsia="Calibri" w:hAnsi="Arial" w:cs="Arial"/>
                <w:sz w:val="20"/>
                <w:szCs w:val="20"/>
                <w:lang w:val="sr-Latn-ME"/>
              </w:rPr>
            </w:pPr>
            <w:r w:rsidRPr="003341AF">
              <w:rPr>
                <w:rFonts w:ascii="Arial" w:hAnsi="Arial" w:cs="Arial"/>
                <w:sz w:val="20"/>
                <w:szCs w:val="20"/>
                <w:lang w:val="sr-Latn-ME"/>
              </w:rPr>
              <w:t>Direktor  Načelnici</w:t>
            </w:r>
          </w:p>
        </w:tc>
        <w:tc>
          <w:tcPr>
            <w:tcW w:w="1531" w:type="dxa"/>
            <w:shd w:val="clear" w:color="auto" w:fill="auto"/>
            <w:vAlign w:val="center"/>
          </w:tcPr>
          <w:p w:rsidR="001B2128" w:rsidRPr="003341AF" w:rsidRDefault="001B2128" w:rsidP="00291635">
            <w:pPr>
              <w:spacing w:after="0" w:line="240" w:lineRule="auto"/>
              <w:rPr>
                <w:rFonts w:ascii="Arial" w:eastAsia="Calibri" w:hAnsi="Arial" w:cs="Arial"/>
                <w:sz w:val="20"/>
                <w:szCs w:val="20"/>
                <w:lang w:val="sr-Latn-ME"/>
              </w:rPr>
            </w:pPr>
            <w:r w:rsidRPr="003341AF">
              <w:rPr>
                <w:rFonts w:ascii="Arial" w:eastAsia="Calibri" w:hAnsi="Arial" w:cs="Arial"/>
                <w:sz w:val="20"/>
                <w:szCs w:val="20"/>
                <w:lang w:val="sr-Latn-ME"/>
              </w:rPr>
              <w:t>Nakon završenog testiranja u UZK</w:t>
            </w:r>
          </w:p>
        </w:tc>
      </w:tr>
      <w:tr w:rsidR="001B2128" w:rsidRPr="003341AF" w:rsidTr="00291635">
        <w:trPr>
          <w:cantSplit/>
          <w:trHeight w:val="1962"/>
        </w:trPr>
        <w:tc>
          <w:tcPr>
            <w:tcW w:w="568" w:type="dxa"/>
            <w:shd w:val="clear" w:color="auto" w:fill="auto"/>
            <w:vAlign w:val="center"/>
          </w:tcPr>
          <w:p w:rsidR="001B2128" w:rsidRPr="003341AF" w:rsidRDefault="001B2128" w:rsidP="00291635">
            <w:pPr>
              <w:spacing w:after="0" w:line="360" w:lineRule="auto"/>
              <w:jc w:val="center"/>
              <w:rPr>
                <w:rFonts w:ascii="Arial" w:eastAsia="Times New Roman" w:hAnsi="Arial" w:cs="Arial"/>
                <w:bCs/>
                <w:sz w:val="20"/>
                <w:szCs w:val="20"/>
                <w:lang w:val="sr-Latn-ME"/>
              </w:rPr>
            </w:pPr>
          </w:p>
          <w:p w:rsidR="001B2128" w:rsidRPr="003341AF" w:rsidRDefault="001B2128" w:rsidP="00291635">
            <w:pPr>
              <w:spacing w:after="0" w:line="360" w:lineRule="auto"/>
              <w:jc w:val="center"/>
              <w:rPr>
                <w:rFonts w:ascii="Arial" w:eastAsia="Times New Roman" w:hAnsi="Arial" w:cs="Arial"/>
                <w:bCs/>
                <w:sz w:val="20"/>
                <w:szCs w:val="20"/>
                <w:lang w:val="sr-Latn-ME"/>
              </w:rPr>
            </w:pPr>
          </w:p>
          <w:p w:rsidR="001B2128" w:rsidRPr="003341AF" w:rsidRDefault="001B2128" w:rsidP="00291635">
            <w:pPr>
              <w:spacing w:after="0" w:line="360" w:lineRule="auto"/>
              <w:jc w:val="center"/>
              <w:rPr>
                <w:rFonts w:ascii="Arial" w:eastAsia="Times New Roman" w:hAnsi="Arial" w:cs="Arial"/>
                <w:bCs/>
                <w:sz w:val="20"/>
                <w:szCs w:val="20"/>
                <w:lang w:val="sr-Latn-ME"/>
              </w:rPr>
            </w:pPr>
            <w:r w:rsidRPr="003341AF">
              <w:rPr>
                <w:rFonts w:ascii="Arial" w:eastAsia="Times New Roman" w:hAnsi="Arial" w:cs="Arial"/>
                <w:bCs/>
                <w:sz w:val="20"/>
                <w:szCs w:val="20"/>
                <w:lang w:val="sr-Latn-ME"/>
              </w:rPr>
              <w:t>9.</w:t>
            </w:r>
          </w:p>
          <w:p w:rsidR="001B2128" w:rsidRPr="003341AF" w:rsidRDefault="001B2128" w:rsidP="00291635">
            <w:pPr>
              <w:spacing w:after="0" w:line="360" w:lineRule="auto"/>
              <w:jc w:val="center"/>
              <w:rPr>
                <w:rFonts w:ascii="Arial" w:eastAsia="Times New Roman" w:hAnsi="Arial" w:cs="Arial"/>
                <w:bCs/>
                <w:sz w:val="20"/>
                <w:szCs w:val="20"/>
                <w:lang w:val="sr-Latn-ME"/>
              </w:rPr>
            </w:pPr>
          </w:p>
        </w:tc>
        <w:tc>
          <w:tcPr>
            <w:tcW w:w="2238" w:type="dxa"/>
            <w:shd w:val="clear" w:color="auto" w:fill="auto"/>
            <w:vAlign w:val="center"/>
          </w:tcPr>
          <w:p w:rsidR="001B2128" w:rsidRPr="003341AF" w:rsidRDefault="001B2128" w:rsidP="00291635">
            <w:pPr>
              <w:pStyle w:val="Default"/>
              <w:jc w:val="both"/>
              <w:rPr>
                <w:rFonts w:ascii="Arial" w:eastAsia="Calibri" w:hAnsi="Arial" w:cs="Arial"/>
                <w:sz w:val="20"/>
                <w:szCs w:val="20"/>
              </w:rPr>
            </w:pPr>
            <w:r w:rsidRPr="003341AF">
              <w:rPr>
                <w:rFonts w:ascii="Arial" w:eastAsia="Calibri" w:hAnsi="Arial" w:cs="Arial"/>
                <w:sz w:val="20"/>
                <w:szCs w:val="20"/>
              </w:rPr>
              <w:t>Kvar na automobilu</w:t>
            </w:r>
          </w:p>
        </w:tc>
        <w:tc>
          <w:tcPr>
            <w:tcW w:w="1843" w:type="dxa"/>
            <w:shd w:val="clear" w:color="auto" w:fill="auto"/>
            <w:vAlign w:val="center"/>
          </w:tcPr>
          <w:p w:rsidR="001B2128" w:rsidRPr="003341AF" w:rsidRDefault="001B2128" w:rsidP="00291635">
            <w:pPr>
              <w:autoSpaceDE w:val="0"/>
              <w:autoSpaceDN w:val="0"/>
              <w:adjustRightInd w:val="0"/>
              <w:spacing w:after="0" w:line="240" w:lineRule="atLeast"/>
              <w:jc w:val="center"/>
              <w:rPr>
                <w:rFonts w:ascii="Arial" w:eastAsia="Calibri" w:hAnsi="Arial" w:cs="Arial"/>
                <w:sz w:val="20"/>
                <w:szCs w:val="20"/>
                <w:lang w:val="sr-Latn-ME"/>
              </w:rPr>
            </w:pPr>
            <w:r w:rsidRPr="003341AF">
              <w:rPr>
                <w:rFonts w:ascii="Arial" w:eastAsia="Calibri" w:hAnsi="Arial" w:cs="Arial"/>
                <w:sz w:val="20"/>
                <w:szCs w:val="20"/>
                <w:lang w:val="sr-Latn-ME"/>
              </w:rPr>
              <w:t>Operativni,</w:t>
            </w:r>
          </w:p>
          <w:p w:rsidR="001B2128" w:rsidRPr="003341AF" w:rsidRDefault="001B2128" w:rsidP="00291635">
            <w:pPr>
              <w:autoSpaceDE w:val="0"/>
              <w:autoSpaceDN w:val="0"/>
              <w:adjustRightInd w:val="0"/>
              <w:spacing w:after="0" w:line="240" w:lineRule="atLeast"/>
              <w:jc w:val="center"/>
              <w:rPr>
                <w:rFonts w:ascii="Arial" w:eastAsia="Calibri" w:hAnsi="Arial" w:cs="Arial"/>
                <w:sz w:val="20"/>
                <w:szCs w:val="20"/>
                <w:lang w:val="sr-Latn-ME"/>
              </w:rPr>
            </w:pPr>
            <w:r w:rsidRPr="003341AF">
              <w:rPr>
                <w:rFonts w:ascii="Arial" w:eastAsia="Calibri" w:hAnsi="Arial" w:cs="Arial"/>
                <w:sz w:val="20"/>
                <w:szCs w:val="20"/>
                <w:lang w:val="sr-Latn-ME"/>
              </w:rPr>
              <w:t>finansijski</w:t>
            </w:r>
          </w:p>
        </w:tc>
        <w:tc>
          <w:tcPr>
            <w:tcW w:w="708" w:type="dxa"/>
            <w:tcBorders>
              <w:top w:val="single" w:sz="4" w:space="0" w:color="auto"/>
              <w:bottom w:val="single" w:sz="4" w:space="0" w:color="auto"/>
              <w:right w:val="single" w:sz="4" w:space="0" w:color="auto"/>
            </w:tcBorders>
            <w:shd w:val="clear" w:color="auto" w:fill="auto"/>
            <w:vAlign w:val="center"/>
          </w:tcPr>
          <w:p w:rsidR="001B2128" w:rsidRPr="003341AF" w:rsidRDefault="001B2128" w:rsidP="00291635">
            <w:pPr>
              <w:spacing w:after="0" w:line="240" w:lineRule="auto"/>
              <w:jc w:val="center"/>
              <w:rPr>
                <w:rFonts w:ascii="Arial" w:eastAsia="Times New Roman" w:hAnsi="Arial" w:cs="Arial"/>
                <w:bCs/>
                <w:sz w:val="20"/>
                <w:szCs w:val="20"/>
                <w:lang w:val="sr-Latn-ME"/>
              </w:rPr>
            </w:pPr>
            <w:r w:rsidRPr="003341AF">
              <w:rPr>
                <w:rFonts w:ascii="Arial" w:eastAsia="Times New Roman" w:hAnsi="Arial" w:cs="Arial"/>
                <w:bCs/>
                <w:sz w:val="20"/>
                <w:szCs w:val="20"/>
                <w:lang w:val="sr-Latn-ME"/>
              </w:rPr>
              <w:t>4</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1B2128" w:rsidRPr="003341AF" w:rsidRDefault="001B2128" w:rsidP="00291635">
            <w:pPr>
              <w:spacing w:after="0" w:line="240" w:lineRule="auto"/>
              <w:jc w:val="center"/>
              <w:rPr>
                <w:rFonts w:ascii="Arial" w:eastAsia="Times New Roman" w:hAnsi="Arial" w:cs="Arial"/>
                <w:bCs/>
                <w:sz w:val="20"/>
                <w:szCs w:val="20"/>
                <w:lang w:val="sr-Latn-ME"/>
              </w:rPr>
            </w:pPr>
            <w:r w:rsidRPr="003341AF">
              <w:rPr>
                <w:rFonts w:ascii="Arial" w:eastAsia="Times New Roman" w:hAnsi="Arial" w:cs="Arial"/>
                <w:bCs/>
                <w:sz w:val="20"/>
                <w:szCs w:val="20"/>
                <w:lang w:val="sr-Latn-ME"/>
              </w:rPr>
              <w:t>2</w:t>
            </w:r>
          </w:p>
        </w:tc>
        <w:tc>
          <w:tcPr>
            <w:tcW w:w="851" w:type="dxa"/>
            <w:gridSpan w:val="2"/>
            <w:tcBorders>
              <w:top w:val="single" w:sz="4" w:space="0" w:color="auto"/>
              <w:left w:val="single" w:sz="4" w:space="0" w:color="auto"/>
              <w:bottom w:val="single" w:sz="4" w:space="0" w:color="auto"/>
            </w:tcBorders>
            <w:shd w:val="clear" w:color="auto" w:fill="auto"/>
            <w:vAlign w:val="center"/>
          </w:tcPr>
          <w:p w:rsidR="001B2128" w:rsidRPr="003341AF" w:rsidRDefault="001B2128" w:rsidP="00291635">
            <w:pPr>
              <w:spacing w:after="0" w:line="240" w:lineRule="auto"/>
              <w:jc w:val="center"/>
              <w:rPr>
                <w:rFonts w:ascii="Arial" w:eastAsia="Times New Roman" w:hAnsi="Arial" w:cs="Arial"/>
                <w:bCs/>
                <w:sz w:val="20"/>
                <w:szCs w:val="20"/>
                <w:lang w:val="sr-Latn-ME"/>
              </w:rPr>
            </w:pPr>
            <w:r w:rsidRPr="003341AF">
              <w:rPr>
                <w:rFonts w:ascii="Arial" w:eastAsia="Times New Roman" w:hAnsi="Arial" w:cs="Arial"/>
                <w:bCs/>
                <w:sz w:val="20"/>
                <w:szCs w:val="20"/>
                <w:lang w:val="sr-Latn-ME"/>
              </w:rPr>
              <w:t>8</w:t>
            </w:r>
          </w:p>
        </w:tc>
        <w:tc>
          <w:tcPr>
            <w:tcW w:w="1984" w:type="dxa"/>
            <w:vAlign w:val="center"/>
          </w:tcPr>
          <w:p w:rsidR="001B2128" w:rsidRPr="003341AF" w:rsidRDefault="001B2128" w:rsidP="00291635">
            <w:pPr>
              <w:spacing w:after="0"/>
              <w:jc w:val="both"/>
              <w:rPr>
                <w:rFonts w:ascii="Arial" w:eastAsia="Calibri" w:hAnsi="Arial" w:cs="Arial"/>
                <w:sz w:val="20"/>
                <w:szCs w:val="20"/>
                <w:lang w:val="sr-Latn-ME"/>
              </w:rPr>
            </w:pPr>
            <w:r w:rsidRPr="003341AF">
              <w:rPr>
                <w:rFonts w:ascii="Arial" w:eastAsia="Calibri" w:hAnsi="Arial" w:cs="Arial"/>
                <w:sz w:val="20"/>
                <w:szCs w:val="20"/>
                <w:lang w:val="sr-Latn-ME"/>
              </w:rPr>
              <w:t>Redovan servis i registracija automobila</w:t>
            </w:r>
          </w:p>
        </w:tc>
        <w:tc>
          <w:tcPr>
            <w:tcW w:w="2410" w:type="dxa"/>
            <w:shd w:val="clear" w:color="auto" w:fill="auto"/>
            <w:vAlign w:val="center"/>
          </w:tcPr>
          <w:p w:rsidR="001B2128" w:rsidRPr="003341AF" w:rsidRDefault="001B2128" w:rsidP="00291635">
            <w:pPr>
              <w:spacing w:after="0"/>
              <w:jc w:val="both"/>
              <w:rPr>
                <w:rFonts w:ascii="Arial" w:eastAsia="Calibri" w:hAnsi="Arial" w:cs="Arial"/>
                <w:sz w:val="20"/>
                <w:szCs w:val="20"/>
                <w:lang w:val="sr-Latn-ME"/>
              </w:rPr>
            </w:pPr>
            <w:r w:rsidRPr="003341AF">
              <w:rPr>
                <w:rFonts w:ascii="Arial" w:eastAsia="Calibri" w:hAnsi="Arial" w:cs="Arial"/>
                <w:sz w:val="20"/>
                <w:szCs w:val="20"/>
                <w:lang w:val="sr-Latn-ME"/>
              </w:rPr>
              <w:t>Zahtijevati nabavku još jednog automobila</w:t>
            </w:r>
          </w:p>
        </w:tc>
        <w:tc>
          <w:tcPr>
            <w:tcW w:w="1701" w:type="dxa"/>
            <w:shd w:val="clear" w:color="auto" w:fill="auto"/>
            <w:vAlign w:val="center"/>
          </w:tcPr>
          <w:p w:rsidR="001B2128" w:rsidRPr="003341AF" w:rsidRDefault="001B2128" w:rsidP="00291635">
            <w:pPr>
              <w:spacing w:after="0"/>
              <w:jc w:val="both"/>
              <w:rPr>
                <w:rFonts w:ascii="Arial" w:eastAsia="Calibri" w:hAnsi="Arial" w:cs="Arial"/>
                <w:sz w:val="20"/>
                <w:szCs w:val="20"/>
                <w:lang w:val="sr-Latn-ME"/>
              </w:rPr>
            </w:pPr>
            <w:r w:rsidRPr="003341AF">
              <w:rPr>
                <w:rFonts w:ascii="Arial" w:eastAsia="Calibri" w:hAnsi="Arial" w:cs="Arial"/>
                <w:sz w:val="20"/>
                <w:szCs w:val="20"/>
                <w:lang w:val="sr-Latn-ME"/>
              </w:rPr>
              <w:t>Direktor</w:t>
            </w:r>
          </w:p>
          <w:p w:rsidR="001B2128" w:rsidRPr="003341AF" w:rsidRDefault="001B2128" w:rsidP="00291635">
            <w:pPr>
              <w:spacing w:after="0"/>
              <w:jc w:val="both"/>
              <w:rPr>
                <w:rFonts w:ascii="Arial" w:eastAsia="Calibri" w:hAnsi="Arial" w:cs="Arial"/>
                <w:sz w:val="20"/>
                <w:szCs w:val="20"/>
                <w:lang w:val="sr-Latn-ME"/>
              </w:rPr>
            </w:pPr>
            <w:r w:rsidRPr="003341AF">
              <w:rPr>
                <w:rFonts w:ascii="Arial" w:eastAsia="Calibri" w:hAnsi="Arial" w:cs="Arial"/>
                <w:sz w:val="20"/>
                <w:szCs w:val="20"/>
                <w:lang w:val="sr-Latn-ME"/>
              </w:rPr>
              <w:t>Samostalni referent</w:t>
            </w:r>
          </w:p>
        </w:tc>
        <w:tc>
          <w:tcPr>
            <w:tcW w:w="1531" w:type="dxa"/>
            <w:shd w:val="clear" w:color="auto" w:fill="auto"/>
            <w:vAlign w:val="center"/>
          </w:tcPr>
          <w:p w:rsidR="001B2128" w:rsidRPr="003341AF" w:rsidRDefault="001B2128" w:rsidP="00291635">
            <w:pPr>
              <w:spacing w:after="0" w:line="360" w:lineRule="auto"/>
              <w:rPr>
                <w:rFonts w:ascii="Arial" w:eastAsia="Calibri" w:hAnsi="Arial" w:cs="Arial"/>
                <w:sz w:val="20"/>
                <w:szCs w:val="20"/>
                <w:lang w:val="sr-Latn-ME"/>
              </w:rPr>
            </w:pPr>
            <w:r w:rsidRPr="003341AF">
              <w:rPr>
                <w:rFonts w:ascii="Arial" w:eastAsia="Calibri" w:hAnsi="Arial" w:cs="Arial"/>
                <w:sz w:val="20"/>
                <w:szCs w:val="20"/>
                <w:lang w:val="sr-Latn-ME"/>
              </w:rPr>
              <w:t>Svakodnevno</w:t>
            </w:r>
          </w:p>
        </w:tc>
      </w:tr>
    </w:tbl>
    <w:p w:rsidR="001B2128" w:rsidRPr="003341AF" w:rsidRDefault="001B2128" w:rsidP="001B2128">
      <w:pPr>
        <w:rPr>
          <w:lang w:val="sr-Latn-ME"/>
        </w:rPr>
      </w:pPr>
    </w:p>
    <w:p w:rsidR="001B2128" w:rsidRPr="003341AF" w:rsidRDefault="001B2128" w:rsidP="001B2128">
      <w:pPr>
        <w:rPr>
          <w:rFonts w:ascii="Arial" w:hAnsi="Arial" w:cs="Arial"/>
          <w:b/>
          <w:sz w:val="24"/>
          <w:szCs w:val="24"/>
          <w:lang w:val="sr-Latn-ME"/>
        </w:rPr>
      </w:pPr>
      <w:r w:rsidRPr="003341AF">
        <w:rPr>
          <w:rFonts w:ascii="Arial" w:hAnsi="Arial" w:cs="Arial"/>
          <w:b/>
          <w:sz w:val="24"/>
          <w:szCs w:val="24"/>
          <w:lang w:val="sr-Latn-ME"/>
        </w:rPr>
        <w:t>Odjeljenje za unapređenje kapaciteta stručnih radnika</w:t>
      </w:r>
    </w:p>
    <w:tbl>
      <w:tblPr>
        <w:tblW w:w="1488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268"/>
        <w:gridCol w:w="1701"/>
        <w:gridCol w:w="708"/>
        <w:gridCol w:w="1276"/>
        <w:gridCol w:w="851"/>
        <w:gridCol w:w="1840"/>
        <w:gridCol w:w="2412"/>
        <w:gridCol w:w="1701"/>
        <w:gridCol w:w="1559"/>
      </w:tblGrid>
      <w:tr w:rsidR="001B2128" w:rsidRPr="003341AF" w:rsidTr="00291635">
        <w:trPr>
          <w:trHeight w:val="270"/>
        </w:trPr>
        <w:tc>
          <w:tcPr>
            <w:tcW w:w="568" w:type="dxa"/>
            <w:vMerge w:val="restart"/>
            <w:shd w:val="clear" w:color="auto" w:fill="auto"/>
          </w:tcPr>
          <w:p w:rsidR="001B2128" w:rsidRPr="003341AF" w:rsidRDefault="001B2128" w:rsidP="00291635">
            <w:pPr>
              <w:spacing w:after="0" w:line="240" w:lineRule="auto"/>
              <w:jc w:val="center"/>
              <w:rPr>
                <w:b/>
                <w:lang w:val="sr-Latn-ME"/>
              </w:rPr>
            </w:pPr>
            <w:r w:rsidRPr="003341AF">
              <w:rPr>
                <w:b/>
                <w:lang w:val="sr-Latn-ME"/>
              </w:rPr>
              <w:t>R.b</w:t>
            </w:r>
          </w:p>
        </w:tc>
        <w:tc>
          <w:tcPr>
            <w:tcW w:w="2268" w:type="dxa"/>
            <w:vMerge w:val="restart"/>
            <w:shd w:val="clear" w:color="auto" w:fill="auto"/>
          </w:tcPr>
          <w:p w:rsidR="001B2128" w:rsidRPr="003341AF" w:rsidRDefault="001B2128" w:rsidP="00291635">
            <w:pPr>
              <w:spacing w:after="0" w:line="240" w:lineRule="auto"/>
              <w:jc w:val="center"/>
              <w:rPr>
                <w:b/>
                <w:lang w:val="sr-Latn-ME"/>
              </w:rPr>
            </w:pPr>
            <w:r w:rsidRPr="003341AF">
              <w:rPr>
                <w:b/>
                <w:lang w:val="sr-Latn-ME"/>
              </w:rPr>
              <w:t>Opis rizika</w:t>
            </w:r>
          </w:p>
        </w:tc>
        <w:tc>
          <w:tcPr>
            <w:tcW w:w="1701" w:type="dxa"/>
            <w:vMerge w:val="restart"/>
            <w:shd w:val="clear" w:color="auto" w:fill="auto"/>
          </w:tcPr>
          <w:p w:rsidR="001B2128" w:rsidRPr="003341AF" w:rsidRDefault="001B2128" w:rsidP="00291635">
            <w:pPr>
              <w:spacing w:after="0" w:line="240" w:lineRule="auto"/>
              <w:jc w:val="center"/>
              <w:rPr>
                <w:b/>
                <w:lang w:val="sr-Latn-ME"/>
              </w:rPr>
            </w:pPr>
            <w:r w:rsidRPr="003341AF">
              <w:rPr>
                <w:b/>
                <w:lang w:val="sr-Latn-ME"/>
              </w:rPr>
              <w:t>Vrsta rizika</w:t>
            </w:r>
          </w:p>
        </w:tc>
        <w:tc>
          <w:tcPr>
            <w:tcW w:w="2835" w:type="dxa"/>
            <w:gridSpan w:val="3"/>
            <w:shd w:val="clear" w:color="auto" w:fill="auto"/>
          </w:tcPr>
          <w:p w:rsidR="001B2128" w:rsidRPr="003341AF" w:rsidRDefault="001B2128" w:rsidP="00291635">
            <w:pPr>
              <w:spacing w:after="0" w:line="240" w:lineRule="auto"/>
              <w:jc w:val="center"/>
              <w:rPr>
                <w:b/>
                <w:lang w:val="sr-Latn-ME"/>
              </w:rPr>
            </w:pPr>
            <w:r w:rsidRPr="003341AF">
              <w:rPr>
                <w:b/>
                <w:lang w:val="sr-Latn-ME"/>
              </w:rPr>
              <w:t>Rangiranje rizika</w:t>
            </w:r>
          </w:p>
        </w:tc>
        <w:tc>
          <w:tcPr>
            <w:tcW w:w="1840" w:type="dxa"/>
            <w:vMerge w:val="restart"/>
            <w:shd w:val="clear" w:color="auto" w:fill="auto"/>
          </w:tcPr>
          <w:p w:rsidR="001B2128" w:rsidRPr="003341AF" w:rsidRDefault="001B2128" w:rsidP="00291635">
            <w:pPr>
              <w:spacing w:after="0" w:line="240" w:lineRule="auto"/>
              <w:jc w:val="center"/>
              <w:rPr>
                <w:b/>
                <w:lang w:val="sr-Latn-ME"/>
              </w:rPr>
            </w:pPr>
            <w:r w:rsidRPr="003341AF">
              <w:rPr>
                <w:b/>
                <w:lang w:val="sr-Latn-ME"/>
              </w:rPr>
              <w:t>Pregled postojećih kontrola</w:t>
            </w:r>
          </w:p>
        </w:tc>
        <w:tc>
          <w:tcPr>
            <w:tcW w:w="2412" w:type="dxa"/>
            <w:vMerge w:val="restart"/>
            <w:shd w:val="clear" w:color="auto" w:fill="auto"/>
          </w:tcPr>
          <w:p w:rsidR="001B2128" w:rsidRPr="003341AF" w:rsidRDefault="001B2128" w:rsidP="00291635">
            <w:pPr>
              <w:spacing w:after="0" w:line="240" w:lineRule="auto"/>
              <w:jc w:val="center"/>
              <w:rPr>
                <w:b/>
                <w:lang w:val="sr-Latn-ME"/>
              </w:rPr>
            </w:pPr>
            <w:r w:rsidRPr="003341AF">
              <w:rPr>
                <w:b/>
                <w:lang w:val="sr-Latn-ME"/>
              </w:rPr>
              <w:t>Reagovanje na rizik</w:t>
            </w:r>
          </w:p>
        </w:tc>
        <w:tc>
          <w:tcPr>
            <w:tcW w:w="1701" w:type="dxa"/>
            <w:vMerge w:val="restart"/>
            <w:shd w:val="clear" w:color="auto" w:fill="auto"/>
          </w:tcPr>
          <w:p w:rsidR="001B2128" w:rsidRPr="003341AF" w:rsidRDefault="001B2128" w:rsidP="00291635">
            <w:pPr>
              <w:spacing w:after="0" w:line="240" w:lineRule="auto"/>
              <w:jc w:val="center"/>
              <w:rPr>
                <w:b/>
                <w:lang w:val="sr-Latn-ME"/>
              </w:rPr>
            </w:pPr>
            <w:r w:rsidRPr="003341AF">
              <w:rPr>
                <w:b/>
                <w:lang w:val="sr-Latn-ME"/>
              </w:rPr>
              <w:t>Odgovorna osoba za rizik</w:t>
            </w:r>
          </w:p>
        </w:tc>
        <w:tc>
          <w:tcPr>
            <w:tcW w:w="1559" w:type="dxa"/>
            <w:vMerge w:val="restart"/>
            <w:shd w:val="clear" w:color="auto" w:fill="auto"/>
          </w:tcPr>
          <w:p w:rsidR="001B2128" w:rsidRPr="003341AF" w:rsidRDefault="001B2128" w:rsidP="00291635">
            <w:pPr>
              <w:spacing w:after="0" w:line="240" w:lineRule="auto"/>
              <w:jc w:val="center"/>
              <w:rPr>
                <w:b/>
                <w:lang w:val="sr-Latn-ME"/>
              </w:rPr>
            </w:pPr>
            <w:r w:rsidRPr="003341AF">
              <w:rPr>
                <w:b/>
                <w:lang w:val="sr-Latn-ME"/>
              </w:rPr>
              <w:t>Rok za sprovođenje</w:t>
            </w:r>
          </w:p>
        </w:tc>
      </w:tr>
      <w:tr w:rsidR="001B2128" w:rsidRPr="003341AF" w:rsidTr="00291635">
        <w:trPr>
          <w:trHeight w:val="270"/>
        </w:trPr>
        <w:tc>
          <w:tcPr>
            <w:tcW w:w="568" w:type="dxa"/>
            <w:vMerge/>
            <w:shd w:val="clear" w:color="auto" w:fill="auto"/>
          </w:tcPr>
          <w:p w:rsidR="001B2128" w:rsidRPr="003341AF" w:rsidRDefault="001B2128" w:rsidP="00291635">
            <w:pPr>
              <w:spacing w:after="0" w:line="240" w:lineRule="auto"/>
              <w:jc w:val="center"/>
              <w:rPr>
                <w:b/>
                <w:lang w:val="sr-Latn-ME"/>
              </w:rPr>
            </w:pPr>
          </w:p>
        </w:tc>
        <w:tc>
          <w:tcPr>
            <w:tcW w:w="2268" w:type="dxa"/>
            <w:vMerge/>
            <w:shd w:val="clear" w:color="auto" w:fill="auto"/>
          </w:tcPr>
          <w:p w:rsidR="001B2128" w:rsidRPr="003341AF" w:rsidRDefault="001B2128" w:rsidP="00291635">
            <w:pPr>
              <w:spacing w:after="0" w:line="240" w:lineRule="auto"/>
              <w:jc w:val="center"/>
              <w:rPr>
                <w:b/>
                <w:lang w:val="sr-Latn-ME"/>
              </w:rPr>
            </w:pPr>
          </w:p>
        </w:tc>
        <w:tc>
          <w:tcPr>
            <w:tcW w:w="1701" w:type="dxa"/>
            <w:vMerge/>
            <w:shd w:val="clear" w:color="auto" w:fill="auto"/>
          </w:tcPr>
          <w:p w:rsidR="001B2128" w:rsidRPr="003341AF" w:rsidRDefault="001B2128" w:rsidP="00291635">
            <w:pPr>
              <w:spacing w:after="0" w:line="240" w:lineRule="auto"/>
              <w:jc w:val="center"/>
              <w:rPr>
                <w:b/>
                <w:lang w:val="sr-Latn-ME"/>
              </w:rPr>
            </w:pPr>
          </w:p>
        </w:tc>
        <w:tc>
          <w:tcPr>
            <w:tcW w:w="708" w:type="dxa"/>
            <w:shd w:val="clear" w:color="auto" w:fill="auto"/>
          </w:tcPr>
          <w:p w:rsidR="001B2128" w:rsidRPr="003341AF" w:rsidRDefault="001B2128" w:rsidP="00291635">
            <w:pPr>
              <w:spacing w:after="0" w:line="240" w:lineRule="auto"/>
              <w:jc w:val="center"/>
              <w:rPr>
                <w:rFonts w:ascii="Arial" w:hAnsi="Arial" w:cs="Arial"/>
                <w:b/>
                <w:sz w:val="16"/>
                <w:szCs w:val="16"/>
                <w:lang w:val="sr-Latn-ME"/>
              </w:rPr>
            </w:pPr>
            <w:r w:rsidRPr="003341AF">
              <w:rPr>
                <w:rFonts w:ascii="Arial" w:eastAsia="Times New Roman" w:hAnsi="Arial" w:cs="Arial"/>
                <w:b/>
                <w:bCs/>
                <w:i/>
                <w:spacing w:val="-4"/>
                <w:sz w:val="14"/>
                <w:szCs w:val="14"/>
                <w:lang w:val="sr-Latn-ME"/>
              </w:rPr>
              <w:t>Uticaj</w:t>
            </w:r>
          </w:p>
        </w:tc>
        <w:tc>
          <w:tcPr>
            <w:tcW w:w="1276" w:type="dxa"/>
            <w:shd w:val="clear" w:color="auto" w:fill="auto"/>
          </w:tcPr>
          <w:p w:rsidR="001B2128" w:rsidRPr="003341AF" w:rsidRDefault="001B2128" w:rsidP="00291635">
            <w:pPr>
              <w:spacing w:after="0" w:line="240" w:lineRule="auto"/>
              <w:rPr>
                <w:rFonts w:ascii="Arial" w:hAnsi="Arial" w:cs="Arial"/>
                <w:b/>
                <w:sz w:val="16"/>
                <w:szCs w:val="16"/>
                <w:lang w:val="sr-Latn-ME"/>
              </w:rPr>
            </w:pPr>
            <w:r w:rsidRPr="003341AF">
              <w:rPr>
                <w:rFonts w:ascii="Arial" w:eastAsia="Times New Roman" w:hAnsi="Arial" w:cs="Arial"/>
                <w:b/>
                <w:bCs/>
                <w:i/>
                <w:spacing w:val="-6"/>
                <w:sz w:val="14"/>
                <w:szCs w:val="14"/>
                <w:lang w:val="sr-Latn-ME"/>
              </w:rPr>
              <w:t>Vjerovatnoća</w:t>
            </w:r>
          </w:p>
        </w:tc>
        <w:tc>
          <w:tcPr>
            <w:tcW w:w="851" w:type="dxa"/>
            <w:shd w:val="clear" w:color="auto" w:fill="auto"/>
          </w:tcPr>
          <w:p w:rsidR="001B2128" w:rsidRPr="003341AF" w:rsidRDefault="001B2128" w:rsidP="00291635">
            <w:pPr>
              <w:spacing w:after="0" w:line="240" w:lineRule="auto"/>
              <w:jc w:val="center"/>
              <w:rPr>
                <w:rFonts w:ascii="Arial" w:hAnsi="Arial" w:cs="Arial"/>
                <w:b/>
                <w:sz w:val="16"/>
                <w:szCs w:val="16"/>
                <w:lang w:val="sr-Latn-ME"/>
              </w:rPr>
            </w:pPr>
            <w:r w:rsidRPr="003341AF">
              <w:rPr>
                <w:rFonts w:ascii="Arial" w:eastAsia="Times New Roman" w:hAnsi="Arial" w:cs="Arial"/>
                <w:b/>
                <w:bCs/>
                <w:i/>
                <w:spacing w:val="-6"/>
                <w:sz w:val="14"/>
                <w:szCs w:val="14"/>
                <w:lang w:val="sr-Latn-ME"/>
              </w:rPr>
              <w:t>Ukupno</w:t>
            </w:r>
          </w:p>
        </w:tc>
        <w:tc>
          <w:tcPr>
            <w:tcW w:w="1840" w:type="dxa"/>
            <w:vMerge/>
            <w:shd w:val="clear" w:color="auto" w:fill="auto"/>
          </w:tcPr>
          <w:p w:rsidR="001B2128" w:rsidRPr="003341AF" w:rsidRDefault="001B2128" w:rsidP="00291635">
            <w:pPr>
              <w:spacing w:after="0" w:line="240" w:lineRule="auto"/>
              <w:jc w:val="center"/>
              <w:rPr>
                <w:b/>
                <w:lang w:val="sr-Latn-ME"/>
              </w:rPr>
            </w:pPr>
          </w:p>
        </w:tc>
        <w:tc>
          <w:tcPr>
            <w:tcW w:w="2412" w:type="dxa"/>
            <w:vMerge/>
            <w:shd w:val="clear" w:color="auto" w:fill="auto"/>
          </w:tcPr>
          <w:p w:rsidR="001B2128" w:rsidRPr="003341AF" w:rsidRDefault="001B2128" w:rsidP="00291635">
            <w:pPr>
              <w:spacing w:after="0" w:line="240" w:lineRule="auto"/>
              <w:jc w:val="center"/>
              <w:rPr>
                <w:b/>
                <w:lang w:val="sr-Latn-ME"/>
              </w:rPr>
            </w:pPr>
          </w:p>
        </w:tc>
        <w:tc>
          <w:tcPr>
            <w:tcW w:w="1701" w:type="dxa"/>
            <w:vMerge/>
            <w:shd w:val="clear" w:color="auto" w:fill="auto"/>
          </w:tcPr>
          <w:p w:rsidR="001B2128" w:rsidRPr="003341AF" w:rsidRDefault="001B2128" w:rsidP="00291635">
            <w:pPr>
              <w:spacing w:after="0" w:line="240" w:lineRule="auto"/>
              <w:jc w:val="center"/>
              <w:rPr>
                <w:b/>
                <w:lang w:val="sr-Latn-ME"/>
              </w:rPr>
            </w:pPr>
          </w:p>
        </w:tc>
        <w:tc>
          <w:tcPr>
            <w:tcW w:w="1559" w:type="dxa"/>
            <w:vMerge/>
            <w:shd w:val="clear" w:color="auto" w:fill="auto"/>
          </w:tcPr>
          <w:p w:rsidR="001B2128" w:rsidRPr="003341AF" w:rsidRDefault="001B2128" w:rsidP="00291635">
            <w:pPr>
              <w:spacing w:after="0" w:line="240" w:lineRule="auto"/>
              <w:jc w:val="center"/>
              <w:rPr>
                <w:b/>
                <w:lang w:val="sr-Latn-ME"/>
              </w:rPr>
            </w:pPr>
          </w:p>
        </w:tc>
      </w:tr>
      <w:tr w:rsidR="001B2128" w:rsidRPr="003341AF" w:rsidTr="00291635">
        <w:trPr>
          <w:trHeight w:val="552"/>
        </w:trPr>
        <w:tc>
          <w:tcPr>
            <w:tcW w:w="568" w:type="dxa"/>
            <w:shd w:val="clear" w:color="auto" w:fill="auto"/>
          </w:tcPr>
          <w:p w:rsidR="001B2128" w:rsidRPr="003341AF" w:rsidRDefault="001B2128" w:rsidP="00291635">
            <w:pPr>
              <w:spacing w:after="0" w:line="240" w:lineRule="auto"/>
              <w:rPr>
                <w:lang w:val="sr-Latn-ME"/>
              </w:rPr>
            </w:pPr>
            <w:r w:rsidRPr="003341AF">
              <w:rPr>
                <w:lang w:val="sr-Latn-ME"/>
              </w:rPr>
              <w:t>1</w:t>
            </w:r>
          </w:p>
        </w:tc>
        <w:tc>
          <w:tcPr>
            <w:tcW w:w="2268" w:type="dxa"/>
            <w:shd w:val="clear" w:color="auto" w:fill="auto"/>
          </w:tcPr>
          <w:p w:rsidR="001B2128" w:rsidRPr="003341AF" w:rsidRDefault="001B2128" w:rsidP="00291635">
            <w:pPr>
              <w:spacing w:after="0" w:line="240" w:lineRule="auto"/>
              <w:rPr>
                <w:rFonts w:ascii="Arial" w:hAnsi="Arial" w:cs="Arial"/>
                <w:sz w:val="20"/>
                <w:szCs w:val="20"/>
                <w:lang w:val="sr-Latn-ME"/>
              </w:rPr>
            </w:pPr>
            <w:r w:rsidRPr="003341AF">
              <w:rPr>
                <w:rFonts w:ascii="Arial" w:hAnsi="Arial" w:cs="Arial"/>
                <w:sz w:val="20"/>
                <w:szCs w:val="20"/>
                <w:lang w:val="sr-Latn-ME"/>
              </w:rPr>
              <w:t xml:space="preserve">Neadekvatno </w:t>
            </w:r>
          </w:p>
          <w:p w:rsidR="001B2128" w:rsidRPr="003341AF" w:rsidRDefault="001B2128" w:rsidP="00291635">
            <w:pPr>
              <w:spacing w:after="0" w:line="240" w:lineRule="auto"/>
              <w:rPr>
                <w:rFonts w:ascii="Arial" w:hAnsi="Arial" w:cs="Arial"/>
                <w:sz w:val="20"/>
                <w:szCs w:val="20"/>
                <w:lang w:val="sr-Latn-ME"/>
              </w:rPr>
            </w:pPr>
            <w:r w:rsidRPr="003341AF">
              <w:rPr>
                <w:rFonts w:ascii="Arial" w:hAnsi="Arial" w:cs="Arial"/>
                <w:sz w:val="20"/>
                <w:szCs w:val="20"/>
                <w:lang w:val="sr-Latn-ME"/>
              </w:rPr>
              <w:t>ocjenjivanje ispunjenosti zakonskih uslova na osnovu dostavljene dokumentacije uz zahtjev za izdavanje licence za rad stručnim radnicima</w:t>
            </w:r>
          </w:p>
        </w:tc>
        <w:tc>
          <w:tcPr>
            <w:tcW w:w="1701" w:type="dxa"/>
            <w:shd w:val="clear" w:color="auto" w:fill="auto"/>
          </w:tcPr>
          <w:p w:rsidR="001B2128" w:rsidRPr="003341AF" w:rsidRDefault="001B2128" w:rsidP="00291635">
            <w:pPr>
              <w:spacing w:after="0" w:line="240" w:lineRule="auto"/>
              <w:rPr>
                <w:rFonts w:ascii="Arial" w:hAnsi="Arial" w:cs="Arial"/>
                <w:sz w:val="20"/>
                <w:szCs w:val="20"/>
                <w:lang w:val="sr-Latn-ME"/>
              </w:rPr>
            </w:pPr>
          </w:p>
          <w:p w:rsidR="001B2128" w:rsidRPr="003341AF" w:rsidRDefault="001B2128" w:rsidP="00291635">
            <w:pPr>
              <w:spacing w:after="0" w:line="240" w:lineRule="auto"/>
              <w:rPr>
                <w:rFonts w:ascii="Arial" w:hAnsi="Arial" w:cs="Arial"/>
                <w:sz w:val="20"/>
                <w:szCs w:val="20"/>
                <w:lang w:val="sr-Latn-ME"/>
              </w:rPr>
            </w:pPr>
          </w:p>
          <w:p w:rsidR="001B2128" w:rsidRPr="003341AF" w:rsidRDefault="001B2128" w:rsidP="00291635">
            <w:pPr>
              <w:spacing w:after="0" w:line="240" w:lineRule="auto"/>
              <w:rPr>
                <w:rFonts w:ascii="Arial" w:hAnsi="Arial" w:cs="Arial"/>
                <w:sz w:val="20"/>
                <w:szCs w:val="20"/>
                <w:lang w:val="sr-Latn-ME"/>
              </w:rPr>
            </w:pPr>
          </w:p>
          <w:p w:rsidR="001B2128" w:rsidRPr="003341AF" w:rsidRDefault="001B2128" w:rsidP="00291635">
            <w:pPr>
              <w:spacing w:after="0" w:line="240" w:lineRule="auto"/>
              <w:rPr>
                <w:rFonts w:ascii="Arial" w:hAnsi="Arial" w:cs="Arial"/>
                <w:sz w:val="20"/>
                <w:szCs w:val="20"/>
                <w:lang w:val="sr-Latn-ME"/>
              </w:rPr>
            </w:pPr>
          </w:p>
          <w:p w:rsidR="001B2128" w:rsidRPr="003341AF" w:rsidRDefault="001B2128" w:rsidP="00291635">
            <w:pPr>
              <w:spacing w:after="0" w:line="240" w:lineRule="auto"/>
              <w:rPr>
                <w:rFonts w:ascii="Arial" w:hAnsi="Arial" w:cs="Arial"/>
                <w:sz w:val="20"/>
                <w:szCs w:val="20"/>
                <w:lang w:val="sr-Latn-ME"/>
              </w:rPr>
            </w:pPr>
            <w:r w:rsidRPr="003341AF">
              <w:rPr>
                <w:rFonts w:ascii="Arial" w:hAnsi="Arial" w:cs="Arial"/>
                <w:sz w:val="20"/>
                <w:szCs w:val="20"/>
                <w:lang w:val="sr-Latn-ME"/>
              </w:rPr>
              <w:t>Operativni</w:t>
            </w:r>
          </w:p>
        </w:tc>
        <w:tc>
          <w:tcPr>
            <w:tcW w:w="708" w:type="dxa"/>
            <w:shd w:val="clear" w:color="auto" w:fill="auto"/>
          </w:tcPr>
          <w:p w:rsidR="001B2128" w:rsidRPr="003341AF" w:rsidRDefault="001B2128" w:rsidP="00291635">
            <w:pPr>
              <w:spacing w:after="0" w:line="240" w:lineRule="auto"/>
              <w:rPr>
                <w:rFonts w:ascii="Arial" w:hAnsi="Arial" w:cs="Arial"/>
                <w:sz w:val="20"/>
                <w:szCs w:val="20"/>
                <w:lang w:val="sr-Latn-ME"/>
              </w:rPr>
            </w:pPr>
          </w:p>
          <w:p w:rsidR="001B2128" w:rsidRPr="003341AF" w:rsidRDefault="001B2128" w:rsidP="00291635">
            <w:pPr>
              <w:spacing w:after="0" w:line="240" w:lineRule="auto"/>
              <w:rPr>
                <w:rFonts w:ascii="Arial" w:hAnsi="Arial" w:cs="Arial"/>
                <w:sz w:val="20"/>
                <w:szCs w:val="20"/>
                <w:lang w:val="sr-Latn-ME"/>
              </w:rPr>
            </w:pPr>
          </w:p>
          <w:p w:rsidR="001B2128" w:rsidRPr="003341AF" w:rsidRDefault="001B2128" w:rsidP="00291635">
            <w:pPr>
              <w:spacing w:after="0" w:line="240" w:lineRule="auto"/>
              <w:rPr>
                <w:rFonts w:ascii="Arial" w:hAnsi="Arial" w:cs="Arial"/>
                <w:sz w:val="20"/>
                <w:szCs w:val="20"/>
                <w:lang w:val="sr-Latn-ME"/>
              </w:rPr>
            </w:pPr>
          </w:p>
          <w:p w:rsidR="001B2128" w:rsidRPr="003341AF" w:rsidRDefault="001B2128" w:rsidP="00291635">
            <w:pPr>
              <w:spacing w:after="0" w:line="240" w:lineRule="auto"/>
              <w:rPr>
                <w:rFonts w:ascii="Arial" w:hAnsi="Arial" w:cs="Arial"/>
                <w:sz w:val="20"/>
                <w:szCs w:val="20"/>
                <w:lang w:val="sr-Latn-ME"/>
              </w:rPr>
            </w:pPr>
          </w:p>
          <w:p w:rsidR="001B2128" w:rsidRPr="003341AF" w:rsidRDefault="001B2128" w:rsidP="00291635">
            <w:pPr>
              <w:spacing w:after="0" w:line="240" w:lineRule="auto"/>
              <w:rPr>
                <w:rFonts w:ascii="Arial" w:hAnsi="Arial" w:cs="Arial"/>
                <w:sz w:val="20"/>
                <w:szCs w:val="20"/>
                <w:lang w:val="sr-Latn-ME"/>
              </w:rPr>
            </w:pPr>
            <w:r w:rsidRPr="003341AF">
              <w:rPr>
                <w:rFonts w:ascii="Arial" w:hAnsi="Arial" w:cs="Arial"/>
                <w:sz w:val="20"/>
                <w:szCs w:val="20"/>
                <w:lang w:val="sr-Latn-ME"/>
              </w:rPr>
              <w:t xml:space="preserve">  4</w:t>
            </w:r>
          </w:p>
        </w:tc>
        <w:tc>
          <w:tcPr>
            <w:tcW w:w="1276" w:type="dxa"/>
            <w:shd w:val="clear" w:color="auto" w:fill="auto"/>
          </w:tcPr>
          <w:p w:rsidR="001B2128" w:rsidRPr="003341AF" w:rsidRDefault="001B2128" w:rsidP="00291635">
            <w:pPr>
              <w:spacing w:after="0" w:line="240" w:lineRule="auto"/>
              <w:rPr>
                <w:rFonts w:ascii="Arial" w:hAnsi="Arial" w:cs="Arial"/>
                <w:sz w:val="20"/>
                <w:szCs w:val="20"/>
                <w:lang w:val="sr-Latn-ME"/>
              </w:rPr>
            </w:pPr>
          </w:p>
          <w:p w:rsidR="001B2128" w:rsidRPr="003341AF" w:rsidRDefault="001B2128" w:rsidP="00291635">
            <w:pPr>
              <w:spacing w:after="0" w:line="240" w:lineRule="auto"/>
              <w:rPr>
                <w:rFonts w:ascii="Arial" w:hAnsi="Arial" w:cs="Arial"/>
                <w:sz w:val="20"/>
                <w:szCs w:val="20"/>
                <w:lang w:val="sr-Latn-ME"/>
              </w:rPr>
            </w:pPr>
          </w:p>
          <w:p w:rsidR="001B2128" w:rsidRPr="003341AF" w:rsidRDefault="001B2128" w:rsidP="00291635">
            <w:pPr>
              <w:spacing w:after="0" w:line="240" w:lineRule="auto"/>
              <w:rPr>
                <w:rFonts w:ascii="Arial" w:hAnsi="Arial" w:cs="Arial"/>
                <w:sz w:val="20"/>
                <w:szCs w:val="20"/>
                <w:lang w:val="sr-Latn-ME"/>
              </w:rPr>
            </w:pPr>
          </w:p>
          <w:p w:rsidR="001B2128" w:rsidRPr="003341AF" w:rsidRDefault="001B2128" w:rsidP="00291635">
            <w:pPr>
              <w:spacing w:after="0" w:line="240" w:lineRule="auto"/>
              <w:rPr>
                <w:rFonts w:ascii="Arial" w:hAnsi="Arial" w:cs="Arial"/>
                <w:sz w:val="20"/>
                <w:szCs w:val="20"/>
                <w:lang w:val="sr-Latn-ME"/>
              </w:rPr>
            </w:pPr>
          </w:p>
          <w:p w:rsidR="001B2128" w:rsidRPr="003341AF" w:rsidRDefault="001B2128" w:rsidP="00291635">
            <w:pPr>
              <w:spacing w:after="0" w:line="240" w:lineRule="auto"/>
              <w:rPr>
                <w:rFonts w:ascii="Arial" w:hAnsi="Arial" w:cs="Arial"/>
                <w:sz w:val="20"/>
                <w:szCs w:val="20"/>
                <w:lang w:val="sr-Latn-ME"/>
              </w:rPr>
            </w:pPr>
            <w:r w:rsidRPr="003341AF">
              <w:rPr>
                <w:rFonts w:ascii="Arial" w:hAnsi="Arial" w:cs="Arial"/>
                <w:sz w:val="20"/>
                <w:szCs w:val="20"/>
                <w:lang w:val="sr-Latn-ME"/>
              </w:rPr>
              <w:t xml:space="preserve">     1</w:t>
            </w:r>
          </w:p>
        </w:tc>
        <w:tc>
          <w:tcPr>
            <w:tcW w:w="851" w:type="dxa"/>
            <w:shd w:val="clear" w:color="auto" w:fill="auto"/>
          </w:tcPr>
          <w:p w:rsidR="001B2128" w:rsidRPr="003341AF" w:rsidRDefault="001B2128" w:rsidP="00291635">
            <w:pPr>
              <w:spacing w:after="0" w:line="240" w:lineRule="auto"/>
              <w:rPr>
                <w:rFonts w:ascii="Arial" w:hAnsi="Arial" w:cs="Arial"/>
                <w:sz w:val="20"/>
                <w:szCs w:val="20"/>
                <w:lang w:val="sr-Latn-ME"/>
              </w:rPr>
            </w:pPr>
            <w:r w:rsidRPr="003341AF">
              <w:rPr>
                <w:rFonts w:ascii="Arial" w:hAnsi="Arial" w:cs="Arial"/>
                <w:sz w:val="20"/>
                <w:szCs w:val="20"/>
                <w:lang w:val="sr-Latn-ME"/>
              </w:rPr>
              <w:t xml:space="preserve">  </w:t>
            </w:r>
          </w:p>
          <w:p w:rsidR="001B2128" w:rsidRPr="003341AF" w:rsidRDefault="001B2128" w:rsidP="00291635">
            <w:pPr>
              <w:spacing w:after="0" w:line="240" w:lineRule="auto"/>
              <w:rPr>
                <w:rFonts w:ascii="Arial" w:hAnsi="Arial" w:cs="Arial"/>
                <w:sz w:val="20"/>
                <w:szCs w:val="20"/>
                <w:lang w:val="sr-Latn-ME"/>
              </w:rPr>
            </w:pPr>
          </w:p>
          <w:p w:rsidR="001B2128" w:rsidRPr="003341AF" w:rsidRDefault="001B2128" w:rsidP="00291635">
            <w:pPr>
              <w:spacing w:after="0" w:line="240" w:lineRule="auto"/>
              <w:rPr>
                <w:rFonts w:ascii="Arial" w:hAnsi="Arial" w:cs="Arial"/>
                <w:sz w:val="20"/>
                <w:szCs w:val="20"/>
                <w:lang w:val="sr-Latn-ME"/>
              </w:rPr>
            </w:pPr>
          </w:p>
          <w:p w:rsidR="001B2128" w:rsidRPr="003341AF" w:rsidRDefault="001B2128" w:rsidP="00291635">
            <w:pPr>
              <w:spacing w:after="0" w:line="240" w:lineRule="auto"/>
              <w:rPr>
                <w:rFonts w:ascii="Arial" w:hAnsi="Arial" w:cs="Arial"/>
                <w:sz w:val="20"/>
                <w:szCs w:val="20"/>
                <w:lang w:val="sr-Latn-ME"/>
              </w:rPr>
            </w:pPr>
          </w:p>
          <w:p w:rsidR="001B2128" w:rsidRPr="003341AF" w:rsidRDefault="001B2128" w:rsidP="00291635">
            <w:pPr>
              <w:spacing w:after="0" w:line="240" w:lineRule="auto"/>
              <w:rPr>
                <w:rFonts w:ascii="Arial" w:hAnsi="Arial" w:cs="Arial"/>
                <w:sz w:val="20"/>
                <w:szCs w:val="20"/>
                <w:lang w:val="sr-Latn-ME"/>
              </w:rPr>
            </w:pPr>
            <w:r w:rsidRPr="003341AF">
              <w:rPr>
                <w:rFonts w:ascii="Arial" w:hAnsi="Arial" w:cs="Arial"/>
                <w:sz w:val="20"/>
                <w:szCs w:val="20"/>
                <w:lang w:val="sr-Latn-ME"/>
              </w:rPr>
              <w:t>4</w:t>
            </w:r>
          </w:p>
        </w:tc>
        <w:tc>
          <w:tcPr>
            <w:tcW w:w="1840" w:type="dxa"/>
            <w:shd w:val="clear" w:color="auto" w:fill="auto"/>
          </w:tcPr>
          <w:p w:rsidR="001B2128" w:rsidRPr="003341AF" w:rsidRDefault="001B2128" w:rsidP="00291635">
            <w:pPr>
              <w:spacing w:after="0" w:line="240" w:lineRule="auto"/>
              <w:rPr>
                <w:rFonts w:ascii="Arial" w:hAnsi="Arial" w:cs="Arial"/>
                <w:sz w:val="20"/>
                <w:szCs w:val="20"/>
                <w:lang w:val="sr-Latn-ME"/>
              </w:rPr>
            </w:pPr>
            <w:r w:rsidRPr="003341AF">
              <w:rPr>
                <w:rFonts w:ascii="Arial" w:hAnsi="Arial" w:cs="Arial"/>
                <w:sz w:val="20"/>
                <w:szCs w:val="20"/>
                <w:lang w:val="sr-Latn-ME"/>
              </w:rPr>
              <w:t>Zakon o socijalnoj i dječjoj zaštiti,</w:t>
            </w:r>
          </w:p>
          <w:p w:rsidR="001B2128" w:rsidRPr="003341AF" w:rsidRDefault="001B2128" w:rsidP="00291635">
            <w:pPr>
              <w:spacing w:after="0" w:line="240" w:lineRule="auto"/>
              <w:rPr>
                <w:rFonts w:ascii="Arial" w:hAnsi="Arial" w:cs="Arial"/>
                <w:sz w:val="20"/>
                <w:szCs w:val="20"/>
                <w:lang w:val="sr-Latn-ME"/>
              </w:rPr>
            </w:pPr>
            <w:r w:rsidRPr="003341AF">
              <w:rPr>
                <w:rFonts w:ascii="Arial" w:hAnsi="Arial" w:cs="Arial"/>
                <w:sz w:val="20"/>
                <w:szCs w:val="20"/>
                <w:lang w:val="sr-Latn-ME"/>
              </w:rPr>
              <w:t>Pravilnik o bližim uslovima za izdavanje, obnavljanje i oduzimanje licence za rad stručnim radnicima u oblasti socijalne i dječje zaštite</w:t>
            </w:r>
          </w:p>
        </w:tc>
        <w:tc>
          <w:tcPr>
            <w:tcW w:w="2412" w:type="dxa"/>
            <w:shd w:val="clear" w:color="auto" w:fill="auto"/>
          </w:tcPr>
          <w:p w:rsidR="001B2128" w:rsidRPr="003341AF" w:rsidRDefault="001B2128" w:rsidP="00291635">
            <w:pPr>
              <w:spacing w:after="0" w:line="240" w:lineRule="auto"/>
              <w:rPr>
                <w:rFonts w:ascii="Arial" w:hAnsi="Arial" w:cs="Arial"/>
                <w:sz w:val="20"/>
                <w:szCs w:val="20"/>
                <w:lang w:val="sr-Latn-ME"/>
              </w:rPr>
            </w:pPr>
            <w:r w:rsidRPr="003341AF">
              <w:rPr>
                <w:rFonts w:ascii="Arial" w:hAnsi="Arial" w:cs="Arial"/>
                <w:sz w:val="20"/>
                <w:szCs w:val="20"/>
                <w:lang w:val="sr-Latn-ME"/>
              </w:rPr>
              <w:t>Dodatno obavještavanje pisanim i telefonskim putem lica koja su u obavezi da dostave dokaze (dokumenta)</w:t>
            </w:r>
          </w:p>
          <w:p w:rsidR="001B2128" w:rsidRPr="003341AF" w:rsidRDefault="001B2128" w:rsidP="00291635">
            <w:pPr>
              <w:spacing w:after="0" w:line="240" w:lineRule="auto"/>
              <w:rPr>
                <w:rFonts w:ascii="Arial" w:hAnsi="Arial" w:cs="Arial"/>
                <w:sz w:val="20"/>
                <w:szCs w:val="20"/>
                <w:lang w:val="sr-Latn-ME"/>
              </w:rPr>
            </w:pPr>
          </w:p>
        </w:tc>
        <w:tc>
          <w:tcPr>
            <w:tcW w:w="1701" w:type="dxa"/>
            <w:shd w:val="clear" w:color="auto" w:fill="auto"/>
          </w:tcPr>
          <w:p w:rsidR="001B2128" w:rsidRPr="003341AF" w:rsidRDefault="001B2128" w:rsidP="00291635">
            <w:pPr>
              <w:spacing w:after="0" w:line="240" w:lineRule="auto"/>
              <w:rPr>
                <w:rFonts w:ascii="Arial" w:hAnsi="Arial" w:cs="Arial"/>
                <w:sz w:val="20"/>
                <w:szCs w:val="20"/>
                <w:lang w:val="sr-Latn-ME"/>
              </w:rPr>
            </w:pPr>
          </w:p>
          <w:p w:rsidR="001B2128" w:rsidRPr="003341AF" w:rsidRDefault="001B2128" w:rsidP="00291635">
            <w:pPr>
              <w:spacing w:after="0" w:line="240" w:lineRule="auto"/>
              <w:rPr>
                <w:rFonts w:ascii="Arial" w:hAnsi="Arial" w:cs="Arial"/>
                <w:sz w:val="20"/>
                <w:szCs w:val="20"/>
                <w:lang w:val="sr-Latn-ME"/>
              </w:rPr>
            </w:pPr>
          </w:p>
          <w:p w:rsidR="001B2128" w:rsidRPr="003341AF" w:rsidRDefault="001B2128" w:rsidP="00291635">
            <w:pPr>
              <w:spacing w:after="0" w:line="240" w:lineRule="auto"/>
              <w:rPr>
                <w:rFonts w:ascii="Arial" w:hAnsi="Arial" w:cs="Arial"/>
                <w:sz w:val="20"/>
                <w:szCs w:val="20"/>
                <w:lang w:val="sr-Latn-ME"/>
              </w:rPr>
            </w:pPr>
            <w:r w:rsidRPr="003341AF">
              <w:rPr>
                <w:rFonts w:ascii="Arial" w:hAnsi="Arial" w:cs="Arial"/>
                <w:sz w:val="20"/>
                <w:szCs w:val="20"/>
                <w:lang w:val="sr-Latn-ME"/>
              </w:rPr>
              <w:t xml:space="preserve">Načelnik </w:t>
            </w:r>
          </w:p>
          <w:p w:rsidR="001B2128" w:rsidRPr="003341AF" w:rsidRDefault="001B2128" w:rsidP="00291635">
            <w:pPr>
              <w:spacing w:after="0" w:line="240" w:lineRule="auto"/>
              <w:rPr>
                <w:rFonts w:ascii="Arial" w:hAnsi="Arial" w:cs="Arial"/>
                <w:sz w:val="20"/>
                <w:szCs w:val="20"/>
                <w:lang w:val="sr-Latn-ME"/>
              </w:rPr>
            </w:pPr>
          </w:p>
          <w:p w:rsidR="001B2128" w:rsidRPr="003341AF" w:rsidRDefault="001B2128" w:rsidP="00291635">
            <w:pPr>
              <w:spacing w:after="0" w:line="240" w:lineRule="auto"/>
              <w:rPr>
                <w:rFonts w:ascii="Arial" w:hAnsi="Arial" w:cs="Arial"/>
                <w:sz w:val="20"/>
                <w:szCs w:val="20"/>
                <w:lang w:val="sr-Latn-ME"/>
              </w:rPr>
            </w:pPr>
            <w:r w:rsidRPr="003341AF">
              <w:rPr>
                <w:rFonts w:ascii="Arial" w:hAnsi="Arial" w:cs="Arial"/>
                <w:sz w:val="20"/>
                <w:szCs w:val="20"/>
                <w:lang w:val="sr-Latn-ME"/>
              </w:rPr>
              <w:t>Samostalni savjetnik I za akreditaciju i licenciranje</w:t>
            </w:r>
          </w:p>
          <w:p w:rsidR="001B2128" w:rsidRPr="003341AF" w:rsidRDefault="001B2128" w:rsidP="00291635">
            <w:pPr>
              <w:spacing w:after="0" w:line="240" w:lineRule="auto"/>
              <w:rPr>
                <w:rFonts w:ascii="Arial" w:hAnsi="Arial" w:cs="Arial"/>
                <w:sz w:val="20"/>
                <w:szCs w:val="20"/>
                <w:lang w:val="sr-Latn-ME"/>
              </w:rPr>
            </w:pPr>
          </w:p>
          <w:p w:rsidR="001B2128" w:rsidRPr="003341AF" w:rsidRDefault="001B2128" w:rsidP="00291635">
            <w:pPr>
              <w:spacing w:after="0" w:line="240" w:lineRule="auto"/>
              <w:rPr>
                <w:rFonts w:ascii="Arial" w:hAnsi="Arial" w:cs="Arial"/>
                <w:sz w:val="20"/>
                <w:szCs w:val="20"/>
                <w:lang w:val="sr-Latn-ME"/>
              </w:rPr>
            </w:pPr>
            <w:r w:rsidRPr="003341AF">
              <w:rPr>
                <w:rFonts w:ascii="Arial" w:hAnsi="Arial" w:cs="Arial"/>
                <w:sz w:val="20"/>
                <w:szCs w:val="20"/>
                <w:lang w:val="sr-Latn-ME"/>
              </w:rPr>
              <w:t>Samostalni savjetnik I</w:t>
            </w:r>
          </w:p>
          <w:p w:rsidR="001B2128" w:rsidRPr="003341AF" w:rsidRDefault="001B2128" w:rsidP="00291635">
            <w:pPr>
              <w:spacing w:after="0" w:line="240" w:lineRule="auto"/>
              <w:rPr>
                <w:rFonts w:ascii="Arial" w:hAnsi="Arial" w:cs="Arial"/>
                <w:sz w:val="20"/>
                <w:szCs w:val="20"/>
                <w:lang w:val="sr-Latn-ME"/>
              </w:rPr>
            </w:pPr>
          </w:p>
        </w:tc>
        <w:tc>
          <w:tcPr>
            <w:tcW w:w="1559" w:type="dxa"/>
            <w:shd w:val="clear" w:color="auto" w:fill="auto"/>
          </w:tcPr>
          <w:p w:rsidR="001B2128" w:rsidRPr="003341AF" w:rsidRDefault="001B2128" w:rsidP="00291635">
            <w:pPr>
              <w:spacing w:after="0" w:line="240" w:lineRule="auto"/>
              <w:rPr>
                <w:rFonts w:ascii="Arial" w:eastAsia="Calibri" w:hAnsi="Arial" w:cs="Arial"/>
                <w:sz w:val="20"/>
                <w:szCs w:val="20"/>
                <w:lang w:val="sr-Latn-ME"/>
              </w:rPr>
            </w:pPr>
          </w:p>
          <w:p w:rsidR="001B2128" w:rsidRPr="003341AF" w:rsidRDefault="001B2128" w:rsidP="00291635">
            <w:pPr>
              <w:spacing w:after="0" w:line="240" w:lineRule="auto"/>
              <w:rPr>
                <w:rFonts w:ascii="Arial" w:eastAsia="Calibri" w:hAnsi="Arial" w:cs="Arial"/>
                <w:sz w:val="20"/>
                <w:szCs w:val="20"/>
                <w:lang w:val="sr-Latn-ME"/>
              </w:rPr>
            </w:pPr>
          </w:p>
          <w:p w:rsidR="001B2128" w:rsidRPr="003341AF" w:rsidRDefault="001B2128" w:rsidP="00291635">
            <w:pPr>
              <w:spacing w:after="0" w:line="240" w:lineRule="auto"/>
              <w:rPr>
                <w:rFonts w:ascii="Arial" w:eastAsia="Calibri" w:hAnsi="Arial" w:cs="Arial"/>
                <w:sz w:val="20"/>
                <w:szCs w:val="20"/>
                <w:lang w:val="sr-Latn-ME"/>
              </w:rPr>
            </w:pPr>
          </w:p>
          <w:p w:rsidR="001B2128" w:rsidRPr="003341AF" w:rsidRDefault="001B2128" w:rsidP="00291635">
            <w:pPr>
              <w:spacing w:after="0" w:line="240" w:lineRule="auto"/>
              <w:rPr>
                <w:rFonts w:ascii="Arial" w:eastAsia="Calibri" w:hAnsi="Arial" w:cs="Arial"/>
                <w:sz w:val="20"/>
                <w:szCs w:val="20"/>
                <w:lang w:val="sr-Latn-ME"/>
              </w:rPr>
            </w:pPr>
          </w:p>
          <w:p w:rsidR="001B2128" w:rsidRPr="003341AF" w:rsidRDefault="001B2128" w:rsidP="00291635">
            <w:pPr>
              <w:spacing w:after="0" w:line="240" w:lineRule="auto"/>
              <w:rPr>
                <w:rFonts w:ascii="Arial" w:eastAsia="Calibri" w:hAnsi="Arial" w:cs="Arial"/>
                <w:sz w:val="20"/>
                <w:szCs w:val="20"/>
                <w:lang w:val="sr-Latn-ME"/>
              </w:rPr>
            </w:pPr>
          </w:p>
          <w:p w:rsidR="001B2128" w:rsidRPr="003341AF" w:rsidRDefault="001B2128" w:rsidP="00291635">
            <w:pPr>
              <w:spacing w:after="0" w:line="240" w:lineRule="auto"/>
              <w:rPr>
                <w:rFonts w:ascii="Arial" w:eastAsia="Calibri" w:hAnsi="Arial" w:cs="Arial"/>
                <w:sz w:val="20"/>
                <w:szCs w:val="20"/>
                <w:lang w:val="sr-Latn-ME"/>
              </w:rPr>
            </w:pPr>
          </w:p>
          <w:p w:rsidR="001B2128" w:rsidRPr="003341AF" w:rsidRDefault="001B2128" w:rsidP="00291635">
            <w:pPr>
              <w:spacing w:after="0" w:line="240" w:lineRule="auto"/>
              <w:rPr>
                <w:rFonts w:ascii="Arial" w:hAnsi="Arial" w:cs="Arial"/>
                <w:sz w:val="20"/>
                <w:szCs w:val="20"/>
                <w:lang w:val="sr-Latn-ME"/>
              </w:rPr>
            </w:pPr>
            <w:r w:rsidRPr="003341AF">
              <w:rPr>
                <w:rFonts w:ascii="Arial" w:eastAsia="Calibri" w:hAnsi="Arial" w:cs="Arial"/>
                <w:sz w:val="20"/>
                <w:szCs w:val="20"/>
                <w:lang w:val="sr-Latn-ME"/>
              </w:rPr>
              <w:t>Svakodnevno</w:t>
            </w:r>
          </w:p>
        </w:tc>
      </w:tr>
      <w:tr w:rsidR="001B2128" w:rsidRPr="003341AF" w:rsidTr="00291635">
        <w:trPr>
          <w:trHeight w:val="522"/>
        </w:trPr>
        <w:tc>
          <w:tcPr>
            <w:tcW w:w="568" w:type="dxa"/>
            <w:shd w:val="clear" w:color="auto" w:fill="auto"/>
          </w:tcPr>
          <w:p w:rsidR="001B2128" w:rsidRPr="003341AF" w:rsidRDefault="001B2128" w:rsidP="00291635">
            <w:pPr>
              <w:spacing w:after="0" w:line="240" w:lineRule="auto"/>
              <w:rPr>
                <w:lang w:val="sr-Latn-ME"/>
              </w:rPr>
            </w:pPr>
            <w:r w:rsidRPr="003341AF">
              <w:rPr>
                <w:lang w:val="sr-Latn-ME"/>
              </w:rPr>
              <w:lastRenderedPageBreak/>
              <w:t>2</w:t>
            </w:r>
          </w:p>
        </w:tc>
        <w:tc>
          <w:tcPr>
            <w:tcW w:w="2268" w:type="dxa"/>
            <w:shd w:val="clear" w:color="auto" w:fill="auto"/>
          </w:tcPr>
          <w:p w:rsidR="001B2128" w:rsidRPr="003341AF" w:rsidRDefault="001B2128" w:rsidP="00291635">
            <w:pPr>
              <w:spacing w:after="0" w:line="240" w:lineRule="auto"/>
              <w:rPr>
                <w:rFonts w:ascii="Arial" w:hAnsi="Arial" w:cs="Arial"/>
                <w:sz w:val="20"/>
                <w:szCs w:val="20"/>
                <w:lang w:val="sr-Latn-ME"/>
              </w:rPr>
            </w:pPr>
            <w:r w:rsidRPr="003341AF">
              <w:rPr>
                <w:rFonts w:ascii="Arial" w:hAnsi="Arial" w:cs="Arial"/>
                <w:sz w:val="20"/>
                <w:szCs w:val="20"/>
                <w:lang w:val="sr-Latn-ME"/>
              </w:rPr>
              <w:t>Nepoštovanje  rokova u skladu sa zakonom prilikom izrade rješenja za izdavanje licence za rad stručnim radnicima, kao i izrade rješenja za akreditaciju programa obuke</w:t>
            </w:r>
          </w:p>
        </w:tc>
        <w:tc>
          <w:tcPr>
            <w:tcW w:w="1701" w:type="dxa"/>
            <w:shd w:val="clear" w:color="auto" w:fill="auto"/>
          </w:tcPr>
          <w:p w:rsidR="001B2128" w:rsidRPr="003341AF" w:rsidRDefault="001B2128" w:rsidP="00291635">
            <w:pPr>
              <w:spacing w:after="0" w:line="240" w:lineRule="auto"/>
              <w:rPr>
                <w:rFonts w:ascii="Arial" w:hAnsi="Arial" w:cs="Arial"/>
                <w:sz w:val="20"/>
                <w:szCs w:val="20"/>
                <w:lang w:val="sr-Latn-ME"/>
              </w:rPr>
            </w:pPr>
          </w:p>
          <w:p w:rsidR="001B2128" w:rsidRPr="003341AF" w:rsidRDefault="001B2128" w:rsidP="00291635">
            <w:pPr>
              <w:spacing w:after="0" w:line="240" w:lineRule="auto"/>
              <w:rPr>
                <w:rFonts w:ascii="Arial" w:hAnsi="Arial" w:cs="Arial"/>
                <w:sz w:val="20"/>
                <w:szCs w:val="20"/>
                <w:lang w:val="sr-Latn-ME"/>
              </w:rPr>
            </w:pPr>
          </w:p>
          <w:p w:rsidR="001B2128" w:rsidRPr="003341AF" w:rsidRDefault="001B2128" w:rsidP="00291635">
            <w:pPr>
              <w:spacing w:after="0" w:line="240" w:lineRule="auto"/>
              <w:rPr>
                <w:rFonts w:ascii="Arial" w:hAnsi="Arial" w:cs="Arial"/>
                <w:sz w:val="20"/>
                <w:szCs w:val="20"/>
                <w:lang w:val="sr-Latn-ME"/>
              </w:rPr>
            </w:pPr>
          </w:p>
          <w:p w:rsidR="001B2128" w:rsidRPr="003341AF" w:rsidRDefault="001B2128" w:rsidP="00291635">
            <w:pPr>
              <w:spacing w:after="0" w:line="240" w:lineRule="auto"/>
              <w:rPr>
                <w:rFonts w:ascii="Arial" w:hAnsi="Arial" w:cs="Arial"/>
                <w:sz w:val="20"/>
                <w:szCs w:val="20"/>
                <w:lang w:val="sr-Latn-ME"/>
              </w:rPr>
            </w:pPr>
          </w:p>
          <w:p w:rsidR="001B2128" w:rsidRPr="003341AF" w:rsidRDefault="001B2128" w:rsidP="00291635">
            <w:pPr>
              <w:spacing w:after="0" w:line="240" w:lineRule="auto"/>
              <w:rPr>
                <w:rFonts w:ascii="Arial" w:hAnsi="Arial" w:cs="Arial"/>
                <w:sz w:val="20"/>
                <w:szCs w:val="20"/>
                <w:lang w:val="sr-Latn-ME"/>
              </w:rPr>
            </w:pPr>
          </w:p>
          <w:p w:rsidR="001B2128" w:rsidRPr="003341AF" w:rsidRDefault="001B2128" w:rsidP="00291635">
            <w:pPr>
              <w:spacing w:after="0" w:line="240" w:lineRule="auto"/>
              <w:rPr>
                <w:rFonts w:ascii="Arial" w:hAnsi="Arial" w:cs="Arial"/>
                <w:sz w:val="20"/>
                <w:szCs w:val="20"/>
                <w:lang w:val="sr-Latn-ME"/>
              </w:rPr>
            </w:pPr>
          </w:p>
          <w:p w:rsidR="001B2128" w:rsidRPr="003341AF" w:rsidRDefault="001B2128" w:rsidP="00291635">
            <w:pPr>
              <w:spacing w:after="0" w:line="240" w:lineRule="auto"/>
              <w:rPr>
                <w:rFonts w:ascii="Arial" w:hAnsi="Arial" w:cs="Arial"/>
                <w:sz w:val="20"/>
                <w:szCs w:val="20"/>
                <w:lang w:val="sr-Latn-ME"/>
              </w:rPr>
            </w:pPr>
          </w:p>
          <w:p w:rsidR="001B2128" w:rsidRPr="003341AF" w:rsidRDefault="001B2128" w:rsidP="00291635">
            <w:pPr>
              <w:spacing w:after="0" w:line="240" w:lineRule="auto"/>
              <w:rPr>
                <w:rFonts w:ascii="Arial" w:hAnsi="Arial" w:cs="Arial"/>
                <w:sz w:val="20"/>
                <w:szCs w:val="20"/>
                <w:lang w:val="sr-Latn-ME"/>
              </w:rPr>
            </w:pPr>
            <w:r w:rsidRPr="003341AF">
              <w:rPr>
                <w:rFonts w:ascii="Arial" w:hAnsi="Arial" w:cs="Arial"/>
                <w:sz w:val="20"/>
                <w:szCs w:val="20"/>
                <w:lang w:val="sr-Latn-ME"/>
              </w:rPr>
              <w:t>Operativni</w:t>
            </w:r>
          </w:p>
        </w:tc>
        <w:tc>
          <w:tcPr>
            <w:tcW w:w="708" w:type="dxa"/>
            <w:shd w:val="clear" w:color="auto" w:fill="auto"/>
          </w:tcPr>
          <w:p w:rsidR="001B2128" w:rsidRPr="003341AF" w:rsidRDefault="001B2128" w:rsidP="00291635">
            <w:pPr>
              <w:spacing w:after="0" w:line="240" w:lineRule="auto"/>
              <w:rPr>
                <w:rFonts w:ascii="Arial" w:hAnsi="Arial" w:cs="Arial"/>
                <w:sz w:val="20"/>
                <w:szCs w:val="20"/>
                <w:lang w:val="sr-Latn-ME"/>
              </w:rPr>
            </w:pPr>
          </w:p>
          <w:p w:rsidR="001B2128" w:rsidRPr="003341AF" w:rsidRDefault="001B2128" w:rsidP="00291635">
            <w:pPr>
              <w:spacing w:after="0" w:line="240" w:lineRule="auto"/>
              <w:rPr>
                <w:rFonts w:ascii="Arial" w:hAnsi="Arial" w:cs="Arial"/>
                <w:sz w:val="20"/>
                <w:szCs w:val="20"/>
                <w:lang w:val="sr-Latn-ME"/>
              </w:rPr>
            </w:pPr>
          </w:p>
          <w:p w:rsidR="001B2128" w:rsidRPr="003341AF" w:rsidRDefault="001B2128" w:rsidP="00291635">
            <w:pPr>
              <w:spacing w:after="0" w:line="240" w:lineRule="auto"/>
              <w:rPr>
                <w:rFonts w:ascii="Arial" w:hAnsi="Arial" w:cs="Arial"/>
                <w:sz w:val="20"/>
                <w:szCs w:val="20"/>
                <w:lang w:val="sr-Latn-ME"/>
              </w:rPr>
            </w:pPr>
          </w:p>
          <w:p w:rsidR="001B2128" w:rsidRPr="003341AF" w:rsidRDefault="001B2128" w:rsidP="00291635">
            <w:pPr>
              <w:spacing w:after="0" w:line="240" w:lineRule="auto"/>
              <w:rPr>
                <w:rFonts w:ascii="Arial" w:hAnsi="Arial" w:cs="Arial"/>
                <w:sz w:val="20"/>
                <w:szCs w:val="20"/>
                <w:lang w:val="sr-Latn-ME"/>
              </w:rPr>
            </w:pPr>
          </w:p>
          <w:p w:rsidR="001B2128" w:rsidRPr="003341AF" w:rsidRDefault="001B2128" w:rsidP="00291635">
            <w:pPr>
              <w:spacing w:after="0" w:line="240" w:lineRule="auto"/>
              <w:rPr>
                <w:rFonts w:ascii="Arial" w:hAnsi="Arial" w:cs="Arial"/>
                <w:sz w:val="20"/>
                <w:szCs w:val="20"/>
                <w:lang w:val="sr-Latn-ME"/>
              </w:rPr>
            </w:pPr>
          </w:p>
          <w:p w:rsidR="001B2128" w:rsidRPr="003341AF" w:rsidRDefault="001B2128" w:rsidP="00291635">
            <w:pPr>
              <w:spacing w:after="0" w:line="240" w:lineRule="auto"/>
              <w:rPr>
                <w:rFonts w:ascii="Arial" w:hAnsi="Arial" w:cs="Arial"/>
                <w:sz w:val="20"/>
                <w:szCs w:val="20"/>
                <w:lang w:val="sr-Latn-ME"/>
              </w:rPr>
            </w:pPr>
          </w:p>
          <w:p w:rsidR="001B2128" w:rsidRPr="003341AF" w:rsidRDefault="001B2128" w:rsidP="00291635">
            <w:pPr>
              <w:spacing w:after="0" w:line="240" w:lineRule="auto"/>
              <w:rPr>
                <w:rFonts w:ascii="Arial" w:hAnsi="Arial" w:cs="Arial"/>
                <w:sz w:val="20"/>
                <w:szCs w:val="20"/>
                <w:lang w:val="sr-Latn-ME"/>
              </w:rPr>
            </w:pPr>
          </w:p>
          <w:p w:rsidR="001B2128" w:rsidRPr="003341AF" w:rsidRDefault="001B2128" w:rsidP="00291635">
            <w:pPr>
              <w:spacing w:after="0" w:line="240" w:lineRule="auto"/>
              <w:rPr>
                <w:rFonts w:ascii="Arial" w:hAnsi="Arial" w:cs="Arial"/>
                <w:sz w:val="20"/>
                <w:szCs w:val="20"/>
                <w:lang w:val="sr-Latn-ME"/>
              </w:rPr>
            </w:pPr>
          </w:p>
          <w:p w:rsidR="001B2128" w:rsidRPr="003341AF" w:rsidRDefault="001B2128" w:rsidP="00291635">
            <w:pPr>
              <w:spacing w:after="0" w:line="240" w:lineRule="auto"/>
              <w:rPr>
                <w:rFonts w:ascii="Arial" w:hAnsi="Arial" w:cs="Arial"/>
                <w:sz w:val="20"/>
                <w:szCs w:val="20"/>
                <w:lang w:val="sr-Latn-ME"/>
              </w:rPr>
            </w:pPr>
            <w:r w:rsidRPr="003341AF">
              <w:rPr>
                <w:rFonts w:ascii="Arial" w:hAnsi="Arial" w:cs="Arial"/>
                <w:sz w:val="20"/>
                <w:szCs w:val="20"/>
                <w:lang w:val="sr-Latn-ME"/>
              </w:rPr>
              <w:t xml:space="preserve"> 4</w:t>
            </w:r>
          </w:p>
        </w:tc>
        <w:tc>
          <w:tcPr>
            <w:tcW w:w="1276" w:type="dxa"/>
            <w:shd w:val="clear" w:color="auto" w:fill="auto"/>
          </w:tcPr>
          <w:p w:rsidR="001B2128" w:rsidRPr="003341AF" w:rsidRDefault="001B2128" w:rsidP="00291635">
            <w:pPr>
              <w:spacing w:after="0" w:line="240" w:lineRule="auto"/>
              <w:rPr>
                <w:rFonts w:ascii="Arial" w:hAnsi="Arial" w:cs="Arial"/>
                <w:sz w:val="20"/>
                <w:szCs w:val="20"/>
                <w:lang w:val="sr-Latn-ME"/>
              </w:rPr>
            </w:pPr>
          </w:p>
          <w:p w:rsidR="001B2128" w:rsidRPr="003341AF" w:rsidRDefault="001B2128" w:rsidP="00291635">
            <w:pPr>
              <w:spacing w:after="0" w:line="240" w:lineRule="auto"/>
              <w:rPr>
                <w:rFonts w:ascii="Arial" w:hAnsi="Arial" w:cs="Arial"/>
                <w:sz w:val="20"/>
                <w:szCs w:val="20"/>
                <w:lang w:val="sr-Latn-ME"/>
              </w:rPr>
            </w:pPr>
          </w:p>
          <w:p w:rsidR="001B2128" w:rsidRPr="003341AF" w:rsidRDefault="001B2128" w:rsidP="00291635">
            <w:pPr>
              <w:spacing w:after="0" w:line="240" w:lineRule="auto"/>
              <w:rPr>
                <w:rFonts w:ascii="Arial" w:hAnsi="Arial" w:cs="Arial"/>
                <w:sz w:val="20"/>
                <w:szCs w:val="20"/>
                <w:lang w:val="sr-Latn-ME"/>
              </w:rPr>
            </w:pPr>
          </w:p>
          <w:p w:rsidR="001B2128" w:rsidRPr="003341AF" w:rsidRDefault="001B2128" w:rsidP="00291635">
            <w:pPr>
              <w:spacing w:after="0" w:line="240" w:lineRule="auto"/>
              <w:rPr>
                <w:rFonts w:ascii="Arial" w:hAnsi="Arial" w:cs="Arial"/>
                <w:sz w:val="20"/>
                <w:szCs w:val="20"/>
                <w:lang w:val="sr-Latn-ME"/>
              </w:rPr>
            </w:pPr>
          </w:p>
          <w:p w:rsidR="001B2128" w:rsidRPr="003341AF" w:rsidRDefault="001B2128" w:rsidP="00291635">
            <w:pPr>
              <w:spacing w:after="0" w:line="240" w:lineRule="auto"/>
              <w:rPr>
                <w:rFonts w:ascii="Arial" w:hAnsi="Arial" w:cs="Arial"/>
                <w:sz w:val="20"/>
                <w:szCs w:val="20"/>
                <w:lang w:val="sr-Latn-ME"/>
              </w:rPr>
            </w:pPr>
          </w:p>
          <w:p w:rsidR="001B2128" w:rsidRPr="003341AF" w:rsidRDefault="001B2128" w:rsidP="00291635">
            <w:pPr>
              <w:spacing w:after="0" w:line="240" w:lineRule="auto"/>
              <w:rPr>
                <w:rFonts w:ascii="Arial" w:hAnsi="Arial" w:cs="Arial"/>
                <w:sz w:val="20"/>
                <w:szCs w:val="20"/>
                <w:lang w:val="sr-Latn-ME"/>
              </w:rPr>
            </w:pPr>
          </w:p>
          <w:p w:rsidR="001B2128" w:rsidRPr="003341AF" w:rsidRDefault="001B2128" w:rsidP="00291635">
            <w:pPr>
              <w:spacing w:after="0" w:line="240" w:lineRule="auto"/>
              <w:rPr>
                <w:rFonts w:ascii="Arial" w:hAnsi="Arial" w:cs="Arial"/>
                <w:sz w:val="20"/>
                <w:szCs w:val="20"/>
                <w:lang w:val="sr-Latn-ME"/>
              </w:rPr>
            </w:pPr>
          </w:p>
          <w:p w:rsidR="001B2128" w:rsidRPr="003341AF" w:rsidRDefault="001B2128" w:rsidP="00291635">
            <w:pPr>
              <w:spacing w:after="0" w:line="240" w:lineRule="auto"/>
              <w:rPr>
                <w:rFonts w:ascii="Arial" w:hAnsi="Arial" w:cs="Arial"/>
                <w:sz w:val="20"/>
                <w:szCs w:val="20"/>
                <w:lang w:val="sr-Latn-ME"/>
              </w:rPr>
            </w:pPr>
          </w:p>
          <w:p w:rsidR="001B2128" w:rsidRPr="003341AF" w:rsidRDefault="001B2128" w:rsidP="00291635">
            <w:pPr>
              <w:spacing w:after="0" w:line="240" w:lineRule="auto"/>
              <w:rPr>
                <w:rFonts w:ascii="Arial" w:hAnsi="Arial" w:cs="Arial"/>
                <w:sz w:val="20"/>
                <w:szCs w:val="20"/>
                <w:lang w:val="sr-Latn-ME"/>
              </w:rPr>
            </w:pPr>
            <w:r w:rsidRPr="003341AF">
              <w:rPr>
                <w:rFonts w:ascii="Arial" w:hAnsi="Arial" w:cs="Arial"/>
                <w:sz w:val="20"/>
                <w:szCs w:val="20"/>
                <w:lang w:val="sr-Latn-ME"/>
              </w:rPr>
              <w:t xml:space="preserve">    2</w:t>
            </w:r>
          </w:p>
        </w:tc>
        <w:tc>
          <w:tcPr>
            <w:tcW w:w="851" w:type="dxa"/>
            <w:shd w:val="clear" w:color="auto" w:fill="auto"/>
          </w:tcPr>
          <w:p w:rsidR="001B2128" w:rsidRPr="003341AF" w:rsidRDefault="001B2128" w:rsidP="00291635">
            <w:pPr>
              <w:spacing w:after="0" w:line="240" w:lineRule="auto"/>
              <w:rPr>
                <w:rFonts w:ascii="Arial" w:hAnsi="Arial" w:cs="Arial"/>
                <w:sz w:val="20"/>
                <w:szCs w:val="20"/>
                <w:lang w:val="sr-Latn-ME"/>
              </w:rPr>
            </w:pPr>
          </w:p>
          <w:p w:rsidR="001B2128" w:rsidRPr="003341AF" w:rsidRDefault="001B2128" w:rsidP="00291635">
            <w:pPr>
              <w:spacing w:after="0" w:line="240" w:lineRule="auto"/>
              <w:rPr>
                <w:rFonts w:ascii="Arial" w:hAnsi="Arial" w:cs="Arial"/>
                <w:sz w:val="20"/>
                <w:szCs w:val="20"/>
                <w:lang w:val="sr-Latn-ME"/>
              </w:rPr>
            </w:pPr>
          </w:p>
          <w:p w:rsidR="001B2128" w:rsidRPr="003341AF" w:rsidRDefault="001B2128" w:rsidP="00291635">
            <w:pPr>
              <w:spacing w:after="0" w:line="240" w:lineRule="auto"/>
              <w:rPr>
                <w:rFonts w:ascii="Arial" w:hAnsi="Arial" w:cs="Arial"/>
                <w:sz w:val="20"/>
                <w:szCs w:val="20"/>
                <w:lang w:val="sr-Latn-ME"/>
              </w:rPr>
            </w:pPr>
          </w:p>
          <w:p w:rsidR="001B2128" w:rsidRPr="003341AF" w:rsidRDefault="001B2128" w:rsidP="00291635">
            <w:pPr>
              <w:spacing w:after="0" w:line="240" w:lineRule="auto"/>
              <w:rPr>
                <w:rFonts w:ascii="Arial" w:hAnsi="Arial" w:cs="Arial"/>
                <w:sz w:val="20"/>
                <w:szCs w:val="20"/>
                <w:lang w:val="sr-Latn-ME"/>
              </w:rPr>
            </w:pPr>
          </w:p>
          <w:p w:rsidR="001B2128" w:rsidRPr="003341AF" w:rsidRDefault="001B2128" w:rsidP="00291635">
            <w:pPr>
              <w:spacing w:after="0" w:line="240" w:lineRule="auto"/>
              <w:rPr>
                <w:rFonts w:ascii="Arial" w:hAnsi="Arial" w:cs="Arial"/>
                <w:sz w:val="20"/>
                <w:szCs w:val="20"/>
                <w:lang w:val="sr-Latn-ME"/>
              </w:rPr>
            </w:pPr>
          </w:p>
          <w:p w:rsidR="001B2128" w:rsidRPr="003341AF" w:rsidRDefault="001B2128" w:rsidP="00291635">
            <w:pPr>
              <w:spacing w:after="0" w:line="240" w:lineRule="auto"/>
              <w:rPr>
                <w:rFonts w:ascii="Arial" w:hAnsi="Arial" w:cs="Arial"/>
                <w:sz w:val="20"/>
                <w:szCs w:val="20"/>
                <w:lang w:val="sr-Latn-ME"/>
              </w:rPr>
            </w:pPr>
          </w:p>
          <w:p w:rsidR="001B2128" w:rsidRPr="003341AF" w:rsidRDefault="001B2128" w:rsidP="00291635">
            <w:pPr>
              <w:spacing w:after="0" w:line="240" w:lineRule="auto"/>
              <w:rPr>
                <w:rFonts w:ascii="Arial" w:hAnsi="Arial" w:cs="Arial"/>
                <w:sz w:val="20"/>
                <w:szCs w:val="20"/>
                <w:lang w:val="sr-Latn-ME"/>
              </w:rPr>
            </w:pPr>
          </w:p>
          <w:p w:rsidR="001B2128" w:rsidRPr="003341AF" w:rsidRDefault="001B2128" w:rsidP="00291635">
            <w:pPr>
              <w:spacing w:after="0" w:line="240" w:lineRule="auto"/>
              <w:rPr>
                <w:rFonts w:ascii="Arial" w:hAnsi="Arial" w:cs="Arial"/>
                <w:sz w:val="20"/>
                <w:szCs w:val="20"/>
                <w:lang w:val="sr-Latn-ME"/>
              </w:rPr>
            </w:pPr>
          </w:p>
          <w:p w:rsidR="001B2128" w:rsidRPr="003341AF" w:rsidRDefault="001B2128" w:rsidP="00291635">
            <w:pPr>
              <w:spacing w:after="0" w:line="240" w:lineRule="auto"/>
              <w:rPr>
                <w:rFonts w:ascii="Arial" w:hAnsi="Arial" w:cs="Arial"/>
                <w:sz w:val="20"/>
                <w:szCs w:val="20"/>
                <w:lang w:val="sr-Latn-ME"/>
              </w:rPr>
            </w:pPr>
            <w:r w:rsidRPr="003341AF">
              <w:rPr>
                <w:rFonts w:ascii="Arial" w:hAnsi="Arial" w:cs="Arial"/>
                <w:sz w:val="20"/>
                <w:szCs w:val="20"/>
                <w:lang w:val="sr-Latn-ME"/>
              </w:rPr>
              <w:t xml:space="preserve">  8</w:t>
            </w:r>
          </w:p>
        </w:tc>
        <w:tc>
          <w:tcPr>
            <w:tcW w:w="1840" w:type="dxa"/>
            <w:shd w:val="clear" w:color="auto" w:fill="auto"/>
          </w:tcPr>
          <w:p w:rsidR="001B2128" w:rsidRPr="003341AF" w:rsidRDefault="001B2128" w:rsidP="00291635">
            <w:pPr>
              <w:spacing w:after="0" w:line="240" w:lineRule="auto"/>
              <w:rPr>
                <w:rFonts w:ascii="Arial" w:hAnsi="Arial" w:cs="Arial"/>
                <w:sz w:val="20"/>
                <w:szCs w:val="20"/>
                <w:lang w:val="sr-Latn-ME"/>
              </w:rPr>
            </w:pPr>
            <w:r w:rsidRPr="003341AF">
              <w:rPr>
                <w:rFonts w:ascii="Arial" w:hAnsi="Arial" w:cs="Arial"/>
                <w:sz w:val="20"/>
                <w:szCs w:val="20"/>
                <w:lang w:val="sr-Latn-ME"/>
              </w:rPr>
              <w:t>Zakon o socijalnoj i dječjoj zaštiti,</w:t>
            </w:r>
          </w:p>
          <w:p w:rsidR="001B2128" w:rsidRPr="003341AF" w:rsidRDefault="001B2128" w:rsidP="00291635">
            <w:pPr>
              <w:spacing w:after="0" w:line="240" w:lineRule="auto"/>
              <w:rPr>
                <w:rFonts w:ascii="Arial" w:hAnsi="Arial" w:cs="Arial"/>
                <w:sz w:val="20"/>
                <w:szCs w:val="20"/>
                <w:lang w:val="sr-Latn-ME"/>
              </w:rPr>
            </w:pPr>
            <w:r w:rsidRPr="003341AF">
              <w:rPr>
                <w:rFonts w:ascii="Arial" w:hAnsi="Arial" w:cs="Arial"/>
                <w:sz w:val="20"/>
                <w:szCs w:val="20"/>
                <w:lang w:val="sr-Latn-ME"/>
              </w:rPr>
              <w:t>Zakon o upravnom postupku,</w:t>
            </w:r>
          </w:p>
          <w:p w:rsidR="001B2128" w:rsidRPr="003341AF" w:rsidRDefault="001B2128" w:rsidP="00291635">
            <w:pPr>
              <w:spacing w:after="0" w:line="240" w:lineRule="auto"/>
              <w:rPr>
                <w:rFonts w:ascii="Arial" w:hAnsi="Arial" w:cs="Arial"/>
                <w:sz w:val="20"/>
                <w:szCs w:val="20"/>
                <w:lang w:val="sr-Latn-ME"/>
              </w:rPr>
            </w:pPr>
            <w:r w:rsidRPr="003341AF">
              <w:rPr>
                <w:rFonts w:ascii="Arial" w:hAnsi="Arial" w:cs="Arial"/>
                <w:sz w:val="20"/>
                <w:szCs w:val="20"/>
                <w:lang w:val="sr-Latn-ME"/>
              </w:rPr>
              <w:t>Pravilnik o standardima za akreditaciju programa obuke, odnosno programa pružanja usluge, načinu sprovođenja postupka akreditacije programa i sadržini i obliku sertifikata</w:t>
            </w:r>
          </w:p>
        </w:tc>
        <w:tc>
          <w:tcPr>
            <w:tcW w:w="2412" w:type="dxa"/>
            <w:shd w:val="clear" w:color="auto" w:fill="auto"/>
          </w:tcPr>
          <w:p w:rsidR="001B2128" w:rsidRPr="003341AF" w:rsidRDefault="001B2128" w:rsidP="00291635">
            <w:pPr>
              <w:spacing w:after="0" w:line="240" w:lineRule="auto"/>
              <w:rPr>
                <w:rFonts w:ascii="Arial" w:hAnsi="Arial" w:cs="Arial"/>
                <w:sz w:val="20"/>
                <w:szCs w:val="20"/>
                <w:lang w:val="sr-Latn-ME"/>
              </w:rPr>
            </w:pPr>
          </w:p>
          <w:p w:rsidR="001B2128" w:rsidRPr="003341AF" w:rsidRDefault="001B2128" w:rsidP="00291635">
            <w:pPr>
              <w:spacing w:after="0" w:line="240" w:lineRule="auto"/>
              <w:rPr>
                <w:rFonts w:ascii="Arial" w:hAnsi="Arial" w:cs="Arial"/>
                <w:sz w:val="20"/>
                <w:szCs w:val="20"/>
                <w:lang w:val="sr-Latn-ME"/>
              </w:rPr>
            </w:pPr>
          </w:p>
          <w:p w:rsidR="001B2128" w:rsidRPr="003341AF" w:rsidRDefault="001B2128" w:rsidP="00291635">
            <w:pPr>
              <w:spacing w:after="0" w:line="240" w:lineRule="auto"/>
              <w:rPr>
                <w:rFonts w:ascii="Arial" w:hAnsi="Arial" w:cs="Arial"/>
                <w:sz w:val="20"/>
                <w:szCs w:val="20"/>
                <w:lang w:val="sr-Latn-ME"/>
              </w:rPr>
            </w:pPr>
            <w:r w:rsidRPr="003341AF">
              <w:rPr>
                <w:rFonts w:ascii="Arial" w:hAnsi="Arial" w:cs="Arial"/>
                <w:sz w:val="20"/>
                <w:szCs w:val="20"/>
                <w:lang w:val="sr-Latn-ME"/>
              </w:rPr>
              <w:t>Usmjeravanje  rada zaposlenih  iz oblasti pravne nauke o važnosti poštovanja rokova za izradu rješenja</w:t>
            </w:r>
          </w:p>
        </w:tc>
        <w:tc>
          <w:tcPr>
            <w:tcW w:w="1701" w:type="dxa"/>
            <w:shd w:val="clear" w:color="auto" w:fill="auto"/>
          </w:tcPr>
          <w:p w:rsidR="001B2128" w:rsidRPr="003341AF" w:rsidRDefault="001B2128" w:rsidP="00291635">
            <w:pPr>
              <w:spacing w:after="0" w:line="240" w:lineRule="auto"/>
              <w:rPr>
                <w:rFonts w:ascii="Arial" w:hAnsi="Arial" w:cs="Arial"/>
                <w:sz w:val="20"/>
                <w:szCs w:val="20"/>
                <w:lang w:val="sr-Latn-ME"/>
              </w:rPr>
            </w:pPr>
          </w:p>
          <w:p w:rsidR="001B2128" w:rsidRPr="003341AF" w:rsidRDefault="001B2128" w:rsidP="00291635">
            <w:pPr>
              <w:spacing w:after="0" w:line="240" w:lineRule="auto"/>
              <w:rPr>
                <w:rFonts w:ascii="Arial" w:hAnsi="Arial" w:cs="Arial"/>
                <w:sz w:val="20"/>
                <w:szCs w:val="20"/>
                <w:lang w:val="sr-Latn-ME"/>
              </w:rPr>
            </w:pPr>
          </w:p>
          <w:p w:rsidR="001B2128" w:rsidRPr="003341AF" w:rsidRDefault="001B2128" w:rsidP="00291635">
            <w:pPr>
              <w:spacing w:after="0" w:line="240" w:lineRule="auto"/>
              <w:rPr>
                <w:rFonts w:ascii="Arial" w:hAnsi="Arial" w:cs="Arial"/>
                <w:sz w:val="20"/>
                <w:szCs w:val="20"/>
                <w:lang w:val="sr-Latn-ME"/>
              </w:rPr>
            </w:pPr>
          </w:p>
          <w:p w:rsidR="001B2128" w:rsidRPr="003341AF" w:rsidRDefault="001B2128" w:rsidP="00291635">
            <w:pPr>
              <w:spacing w:after="0" w:line="240" w:lineRule="auto"/>
              <w:rPr>
                <w:rFonts w:ascii="Arial" w:hAnsi="Arial" w:cs="Arial"/>
                <w:sz w:val="20"/>
                <w:szCs w:val="20"/>
                <w:lang w:val="sr-Latn-ME"/>
              </w:rPr>
            </w:pPr>
          </w:p>
          <w:p w:rsidR="001B2128" w:rsidRPr="003341AF" w:rsidRDefault="001B2128" w:rsidP="00291635">
            <w:pPr>
              <w:spacing w:after="0" w:line="240" w:lineRule="auto"/>
              <w:rPr>
                <w:rFonts w:ascii="Arial" w:hAnsi="Arial" w:cs="Arial"/>
                <w:sz w:val="20"/>
                <w:szCs w:val="20"/>
                <w:lang w:val="sr-Latn-ME"/>
              </w:rPr>
            </w:pPr>
          </w:p>
          <w:p w:rsidR="001B2128" w:rsidRPr="003341AF" w:rsidRDefault="001B2128" w:rsidP="00291635">
            <w:pPr>
              <w:spacing w:after="0" w:line="240" w:lineRule="auto"/>
              <w:rPr>
                <w:rFonts w:ascii="Arial" w:hAnsi="Arial" w:cs="Arial"/>
                <w:sz w:val="20"/>
                <w:szCs w:val="20"/>
                <w:lang w:val="sr-Latn-ME"/>
              </w:rPr>
            </w:pPr>
            <w:r w:rsidRPr="003341AF">
              <w:rPr>
                <w:rFonts w:ascii="Arial" w:hAnsi="Arial" w:cs="Arial"/>
                <w:sz w:val="20"/>
                <w:szCs w:val="20"/>
                <w:lang w:val="sr-Latn-ME"/>
              </w:rPr>
              <w:t xml:space="preserve">Načelnik </w:t>
            </w:r>
          </w:p>
          <w:p w:rsidR="001B2128" w:rsidRPr="003341AF" w:rsidRDefault="001B2128" w:rsidP="00291635">
            <w:pPr>
              <w:spacing w:after="0" w:line="240" w:lineRule="auto"/>
              <w:rPr>
                <w:rFonts w:ascii="Arial" w:hAnsi="Arial" w:cs="Arial"/>
                <w:sz w:val="20"/>
                <w:szCs w:val="20"/>
                <w:lang w:val="sr-Latn-ME"/>
              </w:rPr>
            </w:pPr>
          </w:p>
          <w:p w:rsidR="001B2128" w:rsidRPr="003341AF" w:rsidRDefault="001B2128" w:rsidP="00291635">
            <w:pPr>
              <w:spacing w:after="0" w:line="240" w:lineRule="auto"/>
              <w:rPr>
                <w:rFonts w:ascii="Arial" w:hAnsi="Arial" w:cs="Arial"/>
                <w:sz w:val="20"/>
                <w:szCs w:val="20"/>
                <w:lang w:val="sr-Latn-ME"/>
              </w:rPr>
            </w:pPr>
            <w:r w:rsidRPr="003341AF">
              <w:rPr>
                <w:rFonts w:ascii="Arial" w:hAnsi="Arial" w:cs="Arial"/>
                <w:sz w:val="20"/>
                <w:szCs w:val="20"/>
                <w:lang w:val="sr-Latn-ME"/>
              </w:rPr>
              <w:t xml:space="preserve">Samostalni savjetnik I </w:t>
            </w:r>
          </w:p>
        </w:tc>
        <w:tc>
          <w:tcPr>
            <w:tcW w:w="1559" w:type="dxa"/>
            <w:shd w:val="clear" w:color="auto" w:fill="auto"/>
          </w:tcPr>
          <w:p w:rsidR="001B2128" w:rsidRPr="003341AF" w:rsidRDefault="001B2128" w:rsidP="00291635">
            <w:pPr>
              <w:spacing w:after="0" w:line="240" w:lineRule="auto"/>
              <w:rPr>
                <w:rFonts w:ascii="Arial" w:eastAsia="Calibri" w:hAnsi="Arial" w:cs="Arial"/>
                <w:sz w:val="20"/>
                <w:szCs w:val="20"/>
                <w:lang w:val="sr-Latn-ME"/>
              </w:rPr>
            </w:pPr>
          </w:p>
          <w:p w:rsidR="001B2128" w:rsidRPr="003341AF" w:rsidRDefault="001B2128" w:rsidP="00291635">
            <w:pPr>
              <w:spacing w:after="0" w:line="240" w:lineRule="auto"/>
              <w:rPr>
                <w:rFonts w:ascii="Arial" w:eastAsia="Calibri" w:hAnsi="Arial" w:cs="Arial"/>
                <w:sz w:val="20"/>
                <w:szCs w:val="20"/>
                <w:lang w:val="sr-Latn-ME"/>
              </w:rPr>
            </w:pPr>
          </w:p>
          <w:p w:rsidR="001B2128" w:rsidRPr="003341AF" w:rsidRDefault="001B2128" w:rsidP="00291635">
            <w:pPr>
              <w:spacing w:after="0" w:line="240" w:lineRule="auto"/>
              <w:rPr>
                <w:rFonts w:ascii="Arial" w:eastAsia="Calibri" w:hAnsi="Arial" w:cs="Arial"/>
                <w:sz w:val="20"/>
                <w:szCs w:val="20"/>
                <w:lang w:val="sr-Latn-ME"/>
              </w:rPr>
            </w:pPr>
          </w:p>
          <w:p w:rsidR="001B2128" w:rsidRPr="003341AF" w:rsidRDefault="001B2128" w:rsidP="00291635">
            <w:pPr>
              <w:spacing w:after="0" w:line="240" w:lineRule="auto"/>
              <w:rPr>
                <w:rFonts w:ascii="Arial" w:eastAsia="Calibri" w:hAnsi="Arial" w:cs="Arial"/>
                <w:sz w:val="20"/>
                <w:szCs w:val="20"/>
                <w:lang w:val="sr-Latn-ME"/>
              </w:rPr>
            </w:pPr>
          </w:p>
          <w:p w:rsidR="001B2128" w:rsidRPr="003341AF" w:rsidRDefault="001B2128" w:rsidP="00291635">
            <w:pPr>
              <w:spacing w:after="0" w:line="240" w:lineRule="auto"/>
              <w:rPr>
                <w:rFonts w:ascii="Arial" w:eastAsia="Calibri" w:hAnsi="Arial" w:cs="Arial"/>
                <w:sz w:val="20"/>
                <w:szCs w:val="20"/>
                <w:lang w:val="sr-Latn-ME"/>
              </w:rPr>
            </w:pPr>
          </w:p>
          <w:p w:rsidR="001B2128" w:rsidRPr="003341AF" w:rsidRDefault="001B2128" w:rsidP="00291635">
            <w:pPr>
              <w:spacing w:after="0" w:line="240" w:lineRule="auto"/>
              <w:rPr>
                <w:rFonts w:ascii="Arial" w:eastAsia="Calibri" w:hAnsi="Arial" w:cs="Arial"/>
                <w:sz w:val="20"/>
                <w:szCs w:val="20"/>
                <w:lang w:val="sr-Latn-ME"/>
              </w:rPr>
            </w:pPr>
          </w:p>
          <w:p w:rsidR="001B2128" w:rsidRPr="003341AF" w:rsidRDefault="001B2128" w:rsidP="00291635">
            <w:pPr>
              <w:spacing w:after="0" w:line="240" w:lineRule="auto"/>
              <w:rPr>
                <w:rFonts w:ascii="Arial" w:eastAsia="Calibri" w:hAnsi="Arial" w:cs="Arial"/>
                <w:sz w:val="20"/>
                <w:szCs w:val="20"/>
                <w:lang w:val="sr-Latn-ME"/>
              </w:rPr>
            </w:pPr>
          </w:p>
          <w:p w:rsidR="001B2128" w:rsidRPr="003341AF" w:rsidRDefault="001B2128" w:rsidP="00291635">
            <w:pPr>
              <w:spacing w:after="0" w:line="240" w:lineRule="auto"/>
              <w:rPr>
                <w:rFonts w:ascii="Arial" w:eastAsia="Calibri" w:hAnsi="Arial" w:cs="Arial"/>
                <w:sz w:val="20"/>
                <w:szCs w:val="20"/>
                <w:lang w:val="sr-Latn-ME"/>
              </w:rPr>
            </w:pPr>
          </w:p>
          <w:p w:rsidR="001B2128" w:rsidRPr="003341AF" w:rsidRDefault="001B2128" w:rsidP="00291635">
            <w:pPr>
              <w:spacing w:after="0" w:line="240" w:lineRule="auto"/>
              <w:rPr>
                <w:rFonts w:ascii="Arial" w:eastAsia="Calibri" w:hAnsi="Arial" w:cs="Arial"/>
                <w:sz w:val="20"/>
                <w:szCs w:val="20"/>
                <w:lang w:val="sr-Latn-ME"/>
              </w:rPr>
            </w:pPr>
          </w:p>
          <w:p w:rsidR="001B2128" w:rsidRPr="003341AF" w:rsidRDefault="001B2128" w:rsidP="00291635">
            <w:pPr>
              <w:spacing w:after="0" w:line="240" w:lineRule="auto"/>
              <w:rPr>
                <w:rFonts w:ascii="Arial" w:hAnsi="Arial" w:cs="Arial"/>
                <w:sz w:val="20"/>
                <w:szCs w:val="20"/>
                <w:lang w:val="sr-Latn-ME"/>
              </w:rPr>
            </w:pPr>
            <w:r w:rsidRPr="003341AF">
              <w:rPr>
                <w:rFonts w:ascii="Arial" w:eastAsia="Calibri" w:hAnsi="Arial" w:cs="Arial"/>
                <w:sz w:val="20"/>
                <w:szCs w:val="20"/>
                <w:lang w:val="sr-Latn-ME"/>
              </w:rPr>
              <w:t>Svakodnevno</w:t>
            </w:r>
          </w:p>
        </w:tc>
      </w:tr>
      <w:tr w:rsidR="001B2128" w:rsidRPr="003341AF" w:rsidTr="00291635">
        <w:trPr>
          <w:trHeight w:val="552"/>
        </w:trPr>
        <w:tc>
          <w:tcPr>
            <w:tcW w:w="568" w:type="dxa"/>
            <w:shd w:val="clear" w:color="auto" w:fill="auto"/>
          </w:tcPr>
          <w:p w:rsidR="001B2128" w:rsidRPr="003341AF" w:rsidRDefault="001B2128" w:rsidP="00291635">
            <w:pPr>
              <w:spacing w:after="0" w:line="240" w:lineRule="auto"/>
              <w:rPr>
                <w:lang w:val="sr-Latn-ME"/>
              </w:rPr>
            </w:pPr>
            <w:r w:rsidRPr="003341AF">
              <w:rPr>
                <w:lang w:val="sr-Latn-ME"/>
              </w:rPr>
              <w:t>3</w:t>
            </w:r>
          </w:p>
        </w:tc>
        <w:tc>
          <w:tcPr>
            <w:tcW w:w="2268" w:type="dxa"/>
            <w:shd w:val="clear" w:color="auto" w:fill="auto"/>
          </w:tcPr>
          <w:p w:rsidR="001B2128" w:rsidRPr="003341AF" w:rsidRDefault="001B2128" w:rsidP="00291635">
            <w:pPr>
              <w:spacing w:after="0" w:line="240" w:lineRule="auto"/>
              <w:rPr>
                <w:rFonts w:ascii="Arial" w:hAnsi="Arial" w:cs="Arial"/>
                <w:sz w:val="20"/>
                <w:szCs w:val="20"/>
                <w:lang w:val="sr-Latn-ME"/>
              </w:rPr>
            </w:pPr>
            <w:r w:rsidRPr="003341AF">
              <w:rPr>
                <w:rFonts w:ascii="Arial" w:hAnsi="Arial" w:cs="Arial"/>
                <w:sz w:val="20"/>
                <w:szCs w:val="20"/>
                <w:lang w:val="sr-Latn-ME"/>
              </w:rPr>
              <w:t>Mogućnost da zbog nedovoljnog iznosa opredijeljenih finansijskih sredstava iz budžeta za stručno usavršavanje zaposlenih dođe do propuštanja šansi za kvalitetnim obukama</w:t>
            </w:r>
          </w:p>
        </w:tc>
        <w:tc>
          <w:tcPr>
            <w:tcW w:w="1701" w:type="dxa"/>
            <w:shd w:val="clear" w:color="auto" w:fill="auto"/>
          </w:tcPr>
          <w:p w:rsidR="001B2128" w:rsidRPr="003341AF" w:rsidRDefault="001B2128" w:rsidP="00291635">
            <w:pPr>
              <w:spacing w:after="0" w:line="240" w:lineRule="auto"/>
              <w:rPr>
                <w:rFonts w:ascii="Arial" w:hAnsi="Arial" w:cs="Arial"/>
                <w:sz w:val="20"/>
                <w:szCs w:val="20"/>
                <w:lang w:val="sr-Latn-ME"/>
              </w:rPr>
            </w:pPr>
          </w:p>
          <w:p w:rsidR="001B2128" w:rsidRPr="003341AF" w:rsidRDefault="001B2128" w:rsidP="00291635">
            <w:pPr>
              <w:spacing w:after="0" w:line="240" w:lineRule="auto"/>
              <w:rPr>
                <w:rFonts w:ascii="Arial" w:hAnsi="Arial" w:cs="Arial"/>
                <w:sz w:val="20"/>
                <w:szCs w:val="20"/>
                <w:lang w:val="sr-Latn-ME"/>
              </w:rPr>
            </w:pPr>
          </w:p>
          <w:p w:rsidR="001B2128" w:rsidRPr="003341AF" w:rsidRDefault="001B2128" w:rsidP="00291635">
            <w:pPr>
              <w:spacing w:after="0" w:line="240" w:lineRule="auto"/>
              <w:rPr>
                <w:rFonts w:ascii="Arial" w:hAnsi="Arial" w:cs="Arial"/>
                <w:sz w:val="20"/>
                <w:szCs w:val="20"/>
                <w:lang w:val="sr-Latn-ME"/>
              </w:rPr>
            </w:pPr>
          </w:p>
          <w:p w:rsidR="001B2128" w:rsidRPr="003341AF" w:rsidRDefault="001B2128" w:rsidP="00291635">
            <w:pPr>
              <w:spacing w:after="0" w:line="240" w:lineRule="auto"/>
              <w:rPr>
                <w:rFonts w:ascii="Arial" w:hAnsi="Arial" w:cs="Arial"/>
                <w:sz w:val="20"/>
                <w:szCs w:val="20"/>
                <w:lang w:val="sr-Latn-ME"/>
              </w:rPr>
            </w:pPr>
          </w:p>
          <w:p w:rsidR="001B2128" w:rsidRPr="003341AF" w:rsidRDefault="001B2128" w:rsidP="00291635">
            <w:pPr>
              <w:spacing w:after="0" w:line="240" w:lineRule="auto"/>
              <w:rPr>
                <w:rFonts w:ascii="Arial" w:hAnsi="Arial" w:cs="Arial"/>
                <w:sz w:val="20"/>
                <w:szCs w:val="20"/>
                <w:lang w:val="sr-Latn-ME"/>
              </w:rPr>
            </w:pPr>
            <w:r w:rsidRPr="003341AF">
              <w:rPr>
                <w:rFonts w:ascii="Arial" w:hAnsi="Arial" w:cs="Arial"/>
                <w:sz w:val="20"/>
                <w:szCs w:val="20"/>
                <w:lang w:val="sr-Latn-ME"/>
              </w:rPr>
              <w:t>Operativni</w:t>
            </w:r>
          </w:p>
          <w:p w:rsidR="001B2128" w:rsidRPr="003341AF" w:rsidRDefault="001B2128" w:rsidP="00291635">
            <w:pPr>
              <w:spacing w:after="0" w:line="240" w:lineRule="auto"/>
              <w:rPr>
                <w:rFonts w:ascii="Arial" w:hAnsi="Arial" w:cs="Arial"/>
                <w:sz w:val="20"/>
                <w:szCs w:val="20"/>
                <w:lang w:val="sr-Latn-ME"/>
              </w:rPr>
            </w:pPr>
            <w:r w:rsidRPr="003341AF">
              <w:rPr>
                <w:rFonts w:ascii="Arial" w:eastAsia="Calibri" w:hAnsi="Arial" w:cs="Arial"/>
                <w:sz w:val="20"/>
                <w:szCs w:val="20"/>
                <w:lang w:val="sr-Latn-ME"/>
              </w:rPr>
              <w:t xml:space="preserve"> finansijski</w:t>
            </w:r>
          </w:p>
        </w:tc>
        <w:tc>
          <w:tcPr>
            <w:tcW w:w="708" w:type="dxa"/>
            <w:shd w:val="clear" w:color="auto" w:fill="auto"/>
          </w:tcPr>
          <w:p w:rsidR="001B2128" w:rsidRPr="003341AF" w:rsidRDefault="001B2128" w:rsidP="00291635">
            <w:pPr>
              <w:spacing w:after="0" w:line="240" w:lineRule="auto"/>
              <w:rPr>
                <w:rFonts w:ascii="Arial" w:hAnsi="Arial" w:cs="Arial"/>
                <w:sz w:val="20"/>
                <w:szCs w:val="20"/>
                <w:lang w:val="sr-Latn-ME"/>
              </w:rPr>
            </w:pPr>
          </w:p>
          <w:p w:rsidR="001B2128" w:rsidRPr="003341AF" w:rsidRDefault="001B2128" w:rsidP="00291635">
            <w:pPr>
              <w:spacing w:after="0" w:line="240" w:lineRule="auto"/>
              <w:rPr>
                <w:rFonts w:ascii="Arial" w:hAnsi="Arial" w:cs="Arial"/>
                <w:sz w:val="20"/>
                <w:szCs w:val="20"/>
                <w:lang w:val="sr-Latn-ME"/>
              </w:rPr>
            </w:pPr>
          </w:p>
          <w:p w:rsidR="001B2128" w:rsidRPr="003341AF" w:rsidRDefault="001B2128" w:rsidP="00291635">
            <w:pPr>
              <w:spacing w:after="0" w:line="240" w:lineRule="auto"/>
              <w:rPr>
                <w:rFonts w:ascii="Arial" w:hAnsi="Arial" w:cs="Arial"/>
                <w:sz w:val="20"/>
                <w:szCs w:val="20"/>
                <w:lang w:val="sr-Latn-ME"/>
              </w:rPr>
            </w:pPr>
          </w:p>
          <w:p w:rsidR="001B2128" w:rsidRPr="003341AF" w:rsidRDefault="001B2128" w:rsidP="00291635">
            <w:pPr>
              <w:spacing w:after="0" w:line="240" w:lineRule="auto"/>
              <w:rPr>
                <w:rFonts w:ascii="Arial" w:hAnsi="Arial" w:cs="Arial"/>
                <w:sz w:val="20"/>
                <w:szCs w:val="20"/>
                <w:lang w:val="sr-Latn-ME"/>
              </w:rPr>
            </w:pPr>
          </w:p>
          <w:p w:rsidR="001B2128" w:rsidRPr="003341AF" w:rsidRDefault="001B2128" w:rsidP="00291635">
            <w:pPr>
              <w:spacing w:after="0" w:line="240" w:lineRule="auto"/>
              <w:rPr>
                <w:rFonts w:ascii="Arial" w:hAnsi="Arial" w:cs="Arial"/>
                <w:sz w:val="20"/>
                <w:szCs w:val="20"/>
                <w:lang w:val="sr-Latn-ME"/>
              </w:rPr>
            </w:pPr>
            <w:r w:rsidRPr="003341AF">
              <w:rPr>
                <w:rFonts w:ascii="Arial" w:hAnsi="Arial" w:cs="Arial"/>
                <w:sz w:val="20"/>
                <w:szCs w:val="20"/>
                <w:lang w:val="sr-Latn-ME"/>
              </w:rPr>
              <w:t>4</w:t>
            </w:r>
          </w:p>
        </w:tc>
        <w:tc>
          <w:tcPr>
            <w:tcW w:w="1276" w:type="dxa"/>
            <w:shd w:val="clear" w:color="auto" w:fill="auto"/>
          </w:tcPr>
          <w:p w:rsidR="001B2128" w:rsidRPr="003341AF" w:rsidRDefault="001B2128" w:rsidP="00291635">
            <w:pPr>
              <w:spacing w:after="0" w:line="240" w:lineRule="auto"/>
              <w:rPr>
                <w:rFonts w:ascii="Arial" w:hAnsi="Arial" w:cs="Arial"/>
                <w:sz w:val="20"/>
                <w:szCs w:val="20"/>
                <w:lang w:val="sr-Latn-ME"/>
              </w:rPr>
            </w:pPr>
          </w:p>
          <w:p w:rsidR="001B2128" w:rsidRPr="003341AF" w:rsidRDefault="001B2128" w:rsidP="00291635">
            <w:pPr>
              <w:spacing w:after="0" w:line="240" w:lineRule="auto"/>
              <w:rPr>
                <w:rFonts w:ascii="Arial" w:hAnsi="Arial" w:cs="Arial"/>
                <w:sz w:val="20"/>
                <w:szCs w:val="20"/>
                <w:lang w:val="sr-Latn-ME"/>
              </w:rPr>
            </w:pPr>
          </w:p>
          <w:p w:rsidR="001B2128" w:rsidRPr="003341AF" w:rsidRDefault="001B2128" w:rsidP="00291635">
            <w:pPr>
              <w:spacing w:after="0" w:line="240" w:lineRule="auto"/>
              <w:rPr>
                <w:rFonts w:ascii="Arial" w:hAnsi="Arial" w:cs="Arial"/>
                <w:sz w:val="20"/>
                <w:szCs w:val="20"/>
                <w:lang w:val="sr-Latn-ME"/>
              </w:rPr>
            </w:pPr>
          </w:p>
          <w:p w:rsidR="001B2128" w:rsidRPr="003341AF" w:rsidRDefault="001B2128" w:rsidP="00291635">
            <w:pPr>
              <w:spacing w:after="0" w:line="240" w:lineRule="auto"/>
              <w:rPr>
                <w:rFonts w:ascii="Arial" w:hAnsi="Arial" w:cs="Arial"/>
                <w:sz w:val="20"/>
                <w:szCs w:val="20"/>
                <w:lang w:val="sr-Latn-ME"/>
              </w:rPr>
            </w:pPr>
          </w:p>
          <w:p w:rsidR="001B2128" w:rsidRPr="003341AF" w:rsidRDefault="001B2128" w:rsidP="00291635">
            <w:pPr>
              <w:spacing w:after="0" w:line="240" w:lineRule="auto"/>
              <w:rPr>
                <w:rFonts w:ascii="Arial" w:hAnsi="Arial" w:cs="Arial"/>
                <w:sz w:val="20"/>
                <w:szCs w:val="20"/>
                <w:lang w:val="sr-Latn-ME"/>
              </w:rPr>
            </w:pPr>
            <w:r w:rsidRPr="003341AF">
              <w:rPr>
                <w:rFonts w:ascii="Arial" w:hAnsi="Arial" w:cs="Arial"/>
                <w:sz w:val="20"/>
                <w:szCs w:val="20"/>
                <w:lang w:val="sr-Latn-ME"/>
              </w:rPr>
              <w:t xml:space="preserve">    2</w:t>
            </w:r>
          </w:p>
        </w:tc>
        <w:tc>
          <w:tcPr>
            <w:tcW w:w="851" w:type="dxa"/>
            <w:shd w:val="clear" w:color="auto" w:fill="auto"/>
          </w:tcPr>
          <w:p w:rsidR="001B2128" w:rsidRPr="003341AF" w:rsidRDefault="001B2128" w:rsidP="00291635">
            <w:pPr>
              <w:spacing w:after="0" w:line="240" w:lineRule="auto"/>
              <w:rPr>
                <w:rFonts w:ascii="Arial" w:hAnsi="Arial" w:cs="Arial"/>
                <w:sz w:val="20"/>
                <w:szCs w:val="20"/>
                <w:lang w:val="sr-Latn-ME"/>
              </w:rPr>
            </w:pPr>
          </w:p>
          <w:p w:rsidR="001B2128" w:rsidRPr="003341AF" w:rsidRDefault="001B2128" w:rsidP="00291635">
            <w:pPr>
              <w:spacing w:after="0" w:line="240" w:lineRule="auto"/>
              <w:rPr>
                <w:rFonts w:ascii="Arial" w:hAnsi="Arial" w:cs="Arial"/>
                <w:sz w:val="20"/>
                <w:szCs w:val="20"/>
                <w:lang w:val="sr-Latn-ME"/>
              </w:rPr>
            </w:pPr>
          </w:p>
          <w:p w:rsidR="001B2128" w:rsidRPr="003341AF" w:rsidRDefault="001B2128" w:rsidP="00291635">
            <w:pPr>
              <w:spacing w:after="0" w:line="240" w:lineRule="auto"/>
              <w:rPr>
                <w:rFonts w:ascii="Arial" w:hAnsi="Arial" w:cs="Arial"/>
                <w:sz w:val="20"/>
                <w:szCs w:val="20"/>
                <w:lang w:val="sr-Latn-ME"/>
              </w:rPr>
            </w:pPr>
          </w:p>
          <w:p w:rsidR="001B2128" w:rsidRPr="003341AF" w:rsidRDefault="001B2128" w:rsidP="00291635">
            <w:pPr>
              <w:spacing w:after="0" w:line="240" w:lineRule="auto"/>
              <w:rPr>
                <w:rFonts w:ascii="Arial" w:hAnsi="Arial" w:cs="Arial"/>
                <w:sz w:val="20"/>
                <w:szCs w:val="20"/>
                <w:lang w:val="sr-Latn-ME"/>
              </w:rPr>
            </w:pPr>
          </w:p>
          <w:p w:rsidR="001B2128" w:rsidRPr="003341AF" w:rsidRDefault="001B2128" w:rsidP="00291635">
            <w:pPr>
              <w:spacing w:after="0" w:line="240" w:lineRule="auto"/>
              <w:rPr>
                <w:rFonts w:ascii="Arial" w:hAnsi="Arial" w:cs="Arial"/>
                <w:sz w:val="20"/>
                <w:szCs w:val="20"/>
                <w:lang w:val="sr-Latn-ME"/>
              </w:rPr>
            </w:pPr>
            <w:r w:rsidRPr="003341AF">
              <w:rPr>
                <w:rFonts w:ascii="Arial" w:hAnsi="Arial" w:cs="Arial"/>
                <w:sz w:val="20"/>
                <w:szCs w:val="20"/>
                <w:lang w:val="sr-Latn-ME"/>
              </w:rPr>
              <w:t xml:space="preserve">  8</w:t>
            </w:r>
          </w:p>
        </w:tc>
        <w:tc>
          <w:tcPr>
            <w:tcW w:w="1840" w:type="dxa"/>
            <w:shd w:val="clear" w:color="auto" w:fill="auto"/>
          </w:tcPr>
          <w:p w:rsidR="001B2128" w:rsidRPr="003341AF" w:rsidRDefault="001B2128" w:rsidP="00291635">
            <w:pPr>
              <w:spacing w:after="0" w:line="240" w:lineRule="auto"/>
              <w:rPr>
                <w:rFonts w:ascii="Arial" w:hAnsi="Arial" w:cs="Arial"/>
                <w:sz w:val="20"/>
                <w:szCs w:val="20"/>
                <w:lang w:val="sr-Latn-ME"/>
              </w:rPr>
            </w:pPr>
            <w:r w:rsidRPr="003341AF">
              <w:rPr>
                <w:rFonts w:ascii="Arial" w:hAnsi="Arial" w:cs="Arial"/>
                <w:sz w:val="20"/>
                <w:szCs w:val="20"/>
                <w:lang w:val="sr-Latn-ME"/>
              </w:rPr>
              <w:t>Zakon o socijalnoj i dječjoj zaštiti,</w:t>
            </w:r>
          </w:p>
          <w:p w:rsidR="001B2128" w:rsidRPr="003341AF" w:rsidRDefault="001B2128" w:rsidP="00291635">
            <w:pPr>
              <w:spacing w:after="0" w:line="240" w:lineRule="auto"/>
              <w:rPr>
                <w:rFonts w:ascii="Arial" w:hAnsi="Arial" w:cs="Arial"/>
                <w:sz w:val="20"/>
                <w:szCs w:val="20"/>
                <w:lang w:val="sr-Latn-ME"/>
              </w:rPr>
            </w:pPr>
            <w:r w:rsidRPr="003341AF">
              <w:rPr>
                <w:rFonts w:ascii="Arial" w:hAnsi="Arial" w:cs="Arial"/>
                <w:sz w:val="20"/>
                <w:szCs w:val="20"/>
                <w:lang w:val="sr-Latn-ME"/>
              </w:rPr>
              <w:t>Zakon o državnim službenicima i namještenicima</w:t>
            </w:r>
          </w:p>
        </w:tc>
        <w:tc>
          <w:tcPr>
            <w:tcW w:w="2412" w:type="dxa"/>
            <w:shd w:val="clear" w:color="auto" w:fill="auto"/>
          </w:tcPr>
          <w:p w:rsidR="001B2128" w:rsidRPr="003341AF" w:rsidRDefault="001B2128" w:rsidP="00291635">
            <w:pPr>
              <w:spacing w:after="0" w:line="240" w:lineRule="auto"/>
              <w:rPr>
                <w:rFonts w:ascii="Arial" w:hAnsi="Arial" w:cs="Arial"/>
                <w:sz w:val="20"/>
                <w:szCs w:val="20"/>
                <w:lang w:val="sr-Latn-ME"/>
              </w:rPr>
            </w:pPr>
          </w:p>
          <w:p w:rsidR="001B2128" w:rsidRPr="003341AF" w:rsidRDefault="001B2128" w:rsidP="00291635">
            <w:pPr>
              <w:spacing w:after="0" w:line="240" w:lineRule="auto"/>
              <w:rPr>
                <w:rFonts w:ascii="Arial" w:hAnsi="Arial" w:cs="Arial"/>
                <w:sz w:val="20"/>
                <w:szCs w:val="20"/>
                <w:lang w:val="sr-Latn-ME"/>
              </w:rPr>
            </w:pPr>
            <w:r w:rsidRPr="003341AF">
              <w:rPr>
                <w:rFonts w:ascii="Arial" w:hAnsi="Arial" w:cs="Arial"/>
                <w:sz w:val="20"/>
                <w:szCs w:val="20"/>
                <w:lang w:val="sr-Latn-ME"/>
              </w:rPr>
              <w:t>Edukacija zaposlenih u organima</w:t>
            </w:r>
          </w:p>
        </w:tc>
        <w:tc>
          <w:tcPr>
            <w:tcW w:w="1701" w:type="dxa"/>
            <w:shd w:val="clear" w:color="auto" w:fill="auto"/>
          </w:tcPr>
          <w:p w:rsidR="001B2128" w:rsidRPr="003341AF" w:rsidRDefault="001B2128" w:rsidP="00291635">
            <w:pPr>
              <w:spacing w:after="0" w:line="240" w:lineRule="auto"/>
              <w:rPr>
                <w:rFonts w:ascii="Arial" w:hAnsi="Arial" w:cs="Arial"/>
                <w:sz w:val="20"/>
                <w:szCs w:val="20"/>
                <w:lang w:val="sr-Latn-ME"/>
              </w:rPr>
            </w:pPr>
          </w:p>
          <w:p w:rsidR="001B2128" w:rsidRPr="003341AF" w:rsidRDefault="001B2128" w:rsidP="00291635">
            <w:pPr>
              <w:spacing w:after="0" w:line="240" w:lineRule="auto"/>
              <w:rPr>
                <w:rFonts w:ascii="Arial" w:hAnsi="Arial" w:cs="Arial"/>
                <w:sz w:val="20"/>
                <w:szCs w:val="20"/>
                <w:lang w:val="sr-Latn-ME"/>
              </w:rPr>
            </w:pPr>
            <w:r w:rsidRPr="003341AF">
              <w:rPr>
                <w:rFonts w:ascii="Arial" w:hAnsi="Arial" w:cs="Arial"/>
                <w:sz w:val="20"/>
                <w:szCs w:val="20"/>
                <w:lang w:val="sr-Latn-ME"/>
              </w:rPr>
              <w:t>Samostalna savjetnica I za stručno usavršavanje stručnih radnika</w:t>
            </w:r>
          </w:p>
        </w:tc>
        <w:tc>
          <w:tcPr>
            <w:tcW w:w="1559" w:type="dxa"/>
            <w:shd w:val="clear" w:color="auto" w:fill="auto"/>
          </w:tcPr>
          <w:p w:rsidR="001B2128" w:rsidRPr="003341AF" w:rsidRDefault="001B2128" w:rsidP="00291635">
            <w:pPr>
              <w:spacing w:after="0" w:line="240" w:lineRule="auto"/>
              <w:rPr>
                <w:rFonts w:ascii="Arial" w:eastAsia="Calibri" w:hAnsi="Arial" w:cs="Arial"/>
                <w:sz w:val="20"/>
                <w:szCs w:val="20"/>
                <w:lang w:val="sr-Latn-ME"/>
              </w:rPr>
            </w:pPr>
          </w:p>
          <w:p w:rsidR="001B2128" w:rsidRPr="003341AF" w:rsidRDefault="001B2128" w:rsidP="00291635">
            <w:pPr>
              <w:spacing w:after="0" w:line="240" w:lineRule="auto"/>
              <w:rPr>
                <w:rFonts w:ascii="Arial" w:eastAsia="Calibri" w:hAnsi="Arial" w:cs="Arial"/>
                <w:sz w:val="20"/>
                <w:szCs w:val="20"/>
                <w:lang w:val="sr-Latn-ME"/>
              </w:rPr>
            </w:pPr>
          </w:p>
          <w:p w:rsidR="001B2128" w:rsidRPr="003341AF" w:rsidRDefault="001B2128" w:rsidP="00291635">
            <w:pPr>
              <w:spacing w:after="0" w:line="240" w:lineRule="auto"/>
              <w:rPr>
                <w:rFonts w:ascii="Arial" w:eastAsia="Calibri" w:hAnsi="Arial" w:cs="Arial"/>
                <w:sz w:val="20"/>
                <w:szCs w:val="20"/>
                <w:lang w:val="sr-Latn-ME"/>
              </w:rPr>
            </w:pPr>
          </w:p>
          <w:p w:rsidR="001B2128" w:rsidRPr="003341AF" w:rsidRDefault="001B2128" w:rsidP="00291635">
            <w:pPr>
              <w:spacing w:after="0" w:line="240" w:lineRule="auto"/>
              <w:rPr>
                <w:rFonts w:ascii="Arial" w:hAnsi="Arial" w:cs="Arial"/>
                <w:sz w:val="20"/>
                <w:szCs w:val="20"/>
                <w:lang w:val="sr-Latn-ME"/>
              </w:rPr>
            </w:pPr>
            <w:r w:rsidRPr="003341AF">
              <w:rPr>
                <w:rFonts w:ascii="Arial" w:eastAsia="Calibri" w:hAnsi="Arial" w:cs="Arial"/>
                <w:sz w:val="20"/>
                <w:szCs w:val="20"/>
                <w:lang w:val="sr-Latn-ME"/>
              </w:rPr>
              <w:t>Svakodnevno</w:t>
            </w:r>
          </w:p>
        </w:tc>
      </w:tr>
    </w:tbl>
    <w:p w:rsidR="001B2128" w:rsidRPr="003341AF" w:rsidRDefault="001B2128" w:rsidP="001B2128">
      <w:pPr>
        <w:spacing w:line="240" w:lineRule="atLeast"/>
        <w:contextualSpacing/>
        <w:jc w:val="both"/>
        <w:rPr>
          <w:rFonts w:ascii="Arial" w:eastAsia="Calibri" w:hAnsi="Arial" w:cs="Arial"/>
          <w:b/>
          <w:lang w:val="sr-Latn-ME"/>
        </w:rPr>
      </w:pPr>
    </w:p>
    <w:p w:rsidR="001B2128" w:rsidRPr="003341AF" w:rsidRDefault="001B2128" w:rsidP="001B2128">
      <w:pPr>
        <w:spacing w:line="240" w:lineRule="atLeast"/>
        <w:contextualSpacing/>
        <w:jc w:val="both"/>
        <w:rPr>
          <w:rFonts w:ascii="Arial" w:eastAsia="Calibri" w:hAnsi="Arial" w:cs="Arial"/>
          <w:b/>
          <w:lang w:val="sr-Latn-ME"/>
        </w:rPr>
      </w:pPr>
    </w:p>
    <w:p w:rsidR="001B2128" w:rsidRPr="003341AF" w:rsidRDefault="001B2128" w:rsidP="001B2128">
      <w:pPr>
        <w:spacing w:line="240" w:lineRule="atLeast"/>
        <w:contextualSpacing/>
        <w:jc w:val="both"/>
        <w:rPr>
          <w:rFonts w:ascii="Arial" w:eastAsia="Calibri" w:hAnsi="Arial" w:cs="Arial"/>
          <w:b/>
          <w:lang w:val="sr-Latn-ME"/>
        </w:rPr>
      </w:pPr>
    </w:p>
    <w:p w:rsidR="001B2128" w:rsidRPr="003341AF" w:rsidRDefault="001B2128" w:rsidP="001B2128">
      <w:pPr>
        <w:spacing w:line="240" w:lineRule="atLeast"/>
        <w:contextualSpacing/>
        <w:jc w:val="both"/>
        <w:rPr>
          <w:rFonts w:ascii="Arial" w:eastAsia="Calibri" w:hAnsi="Arial" w:cs="Arial"/>
          <w:b/>
          <w:lang w:val="sr-Latn-ME"/>
        </w:rPr>
      </w:pPr>
    </w:p>
    <w:p w:rsidR="001B2128" w:rsidRPr="003341AF" w:rsidRDefault="001B2128" w:rsidP="001B2128">
      <w:pPr>
        <w:spacing w:line="240" w:lineRule="atLeast"/>
        <w:contextualSpacing/>
        <w:jc w:val="both"/>
        <w:rPr>
          <w:rFonts w:ascii="Arial" w:eastAsia="Calibri" w:hAnsi="Arial" w:cs="Arial"/>
          <w:b/>
          <w:lang w:val="sr-Latn-ME"/>
        </w:rPr>
      </w:pPr>
    </w:p>
    <w:p w:rsidR="001B2128" w:rsidRPr="003341AF" w:rsidRDefault="001B2128" w:rsidP="001B2128">
      <w:pPr>
        <w:spacing w:line="240" w:lineRule="atLeast"/>
        <w:contextualSpacing/>
        <w:jc w:val="both"/>
        <w:rPr>
          <w:rFonts w:ascii="Arial" w:eastAsia="Calibri" w:hAnsi="Arial" w:cs="Arial"/>
          <w:b/>
          <w:lang w:val="sr-Latn-ME"/>
        </w:rPr>
      </w:pPr>
    </w:p>
    <w:p w:rsidR="001B2128" w:rsidRPr="003341AF" w:rsidRDefault="001B2128" w:rsidP="001B2128">
      <w:pPr>
        <w:spacing w:line="240" w:lineRule="atLeast"/>
        <w:contextualSpacing/>
        <w:jc w:val="both"/>
        <w:rPr>
          <w:rFonts w:ascii="Arial" w:eastAsia="Calibri" w:hAnsi="Arial" w:cs="Arial"/>
          <w:b/>
          <w:lang w:val="sr-Latn-ME"/>
        </w:rPr>
      </w:pPr>
    </w:p>
    <w:p w:rsidR="001B2128" w:rsidRPr="003341AF" w:rsidRDefault="001B2128" w:rsidP="001B2128">
      <w:pPr>
        <w:spacing w:line="240" w:lineRule="atLeast"/>
        <w:contextualSpacing/>
        <w:jc w:val="both"/>
        <w:rPr>
          <w:rFonts w:ascii="Arial" w:eastAsia="Calibri" w:hAnsi="Arial" w:cs="Arial"/>
          <w:b/>
          <w:lang w:val="sr-Latn-ME"/>
        </w:rPr>
      </w:pPr>
    </w:p>
    <w:p w:rsidR="001B2128" w:rsidRPr="003341AF" w:rsidRDefault="001B2128" w:rsidP="001B2128">
      <w:pPr>
        <w:spacing w:line="240" w:lineRule="atLeast"/>
        <w:contextualSpacing/>
        <w:jc w:val="both"/>
        <w:rPr>
          <w:rFonts w:ascii="Arial" w:eastAsia="Calibri" w:hAnsi="Arial" w:cs="Arial"/>
          <w:b/>
          <w:lang w:val="sr-Latn-ME"/>
        </w:rPr>
      </w:pPr>
    </w:p>
    <w:p w:rsidR="001B2128" w:rsidRPr="003341AF" w:rsidRDefault="001B2128" w:rsidP="001B2128">
      <w:pPr>
        <w:spacing w:line="240" w:lineRule="atLeast"/>
        <w:contextualSpacing/>
        <w:jc w:val="both"/>
        <w:rPr>
          <w:rFonts w:ascii="Arial" w:eastAsia="Calibri" w:hAnsi="Arial" w:cs="Arial"/>
          <w:b/>
          <w:lang w:val="sr-Latn-ME"/>
        </w:rPr>
      </w:pPr>
    </w:p>
    <w:p w:rsidR="001B2128" w:rsidRPr="003341AF" w:rsidRDefault="001B2128" w:rsidP="001B2128">
      <w:pPr>
        <w:spacing w:line="240" w:lineRule="atLeast"/>
        <w:contextualSpacing/>
        <w:jc w:val="both"/>
        <w:rPr>
          <w:rFonts w:ascii="Arial" w:eastAsia="Calibri" w:hAnsi="Arial" w:cs="Arial"/>
          <w:b/>
          <w:lang w:val="sr-Latn-ME"/>
        </w:rPr>
      </w:pPr>
    </w:p>
    <w:p w:rsidR="001B2128" w:rsidRPr="003341AF" w:rsidRDefault="001B2128" w:rsidP="001B2128">
      <w:pPr>
        <w:spacing w:line="240" w:lineRule="atLeast"/>
        <w:contextualSpacing/>
        <w:jc w:val="both"/>
        <w:rPr>
          <w:rFonts w:ascii="Arial" w:eastAsia="Calibri" w:hAnsi="Arial" w:cs="Arial"/>
          <w:b/>
          <w:lang w:val="sr-Latn-ME"/>
        </w:rPr>
      </w:pPr>
    </w:p>
    <w:p w:rsidR="001B2128" w:rsidRPr="003341AF" w:rsidRDefault="001B2128" w:rsidP="001B2128">
      <w:pPr>
        <w:spacing w:line="240" w:lineRule="atLeast"/>
        <w:contextualSpacing/>
        <w:jc w:val="both"/>
        <w:rPr>
          <w:rFonts w:ascii="Arial" w:eastAsia="Calibri" w:hAnsi="Arial" w:cs="Arial"/>
          <w:b/>
          <w:lang w:val="sr-Latn-ME"/>
        </w:rPr>
      </w:pPr>
      <w:r w:rsidRPr="003341AF">
        <w:rPr>
          <w:rFonts w:ascii="Arial" w:eastAsia="Calibri" w:hAnsi="Arial" w:cs="Arial"/>
          <w:b/>
          <w:lang w:val="sr-Latn-ME"/>
        </w:rPr>
        <w:t>Odjeljenje za razvoj i stručnu podršku</w:t>
      </w:r>
    </w:p>
    <w:p w:rsidR="001B2128" w:rsidRPr="003341AF" w:rsidRDefault="001B2128" w:rsidP="001B2128">
      <w:pPr>
        <w:spacing w:line="240" w:lineRule="atLeast"/>
        <w:contextualSpacing/>
        <w:jc w:val="both"/>
        <w:rPr>
          <w:rFonts w:ascii="Arial" w:eastAsia="Calibri" w:hAnsi="Arial" w:cs="Arial"/>
          <w:lang w:val="sr-Latn-ME"/>
        </w:rPr>
      </w:pPr>
    </w:p>
    <w:tbl>
      <w:tblPr>
        <w:tblW w:w="1474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
        <w:gridCol w:w="2238"/>
        <w:gridCol w:w="1843"/>
        <w:gridCol w:w="708"/>
        <w:gridCol w:w="1164"/>
        <w:gridCol w:w="709"/>
        <w:gridCol w:w="1984"/>
        <w:gridCol w:w="2410"/>
        <w:gridCol w:w="1701"/>
        <w:gridCol w:w="1531"/>
      </w:tblGrid>
      <w:tr w:rsidR="001B2128" w:rsidRPr="003341AF" w:rsidTr="00291635">
        <w:trPr>
          <w:trHeight w:val="455"/>
        </w:trPr>
        <w:tc>
          <w:tcPr>
            <w:tcW w:w="455" w:type="dxa"/>
            <w:vMerge w:val="restart"/>
            <w:shd w:val="clear" w:color="auto" w:fill="auto"/>
            <w:vAlign w:val="center"/>
          </w:tcPr>
          <w:p w:rsidR="001B2128" w:rsidRPr="003341AF" w:rsidRDefault="001B2128" w:rsidP="00291635">
            <w:pPr>
              <w:spacing w:after="0" w:line="240" w:lineRule="auto"/>
              <w:ind w:hanging="84"/>
              <w:jc w:val="center"/>
              <w:rPr>
                <w:rFonts w:ascii="Arial" w:eastAsia="Times New Roman" w:hAnsi="Arial" w:cs="Arial"/>
                <w:b/>
                <w:bCs/>
                <w:i/>
                <w:sz w:val="20"/>
                <w:szCs w:val="20"/>
                <w:lang w:val="sr-Latn-ME"/>
              </w:rPr>
            </w:pPr>
            <w:r w:rsidRPr="003341AF">
              <w:rPr>
                <w:rFonts w:ascii="Arial" w:eastAsia="Times New Roman" w:hAnsi="Arial" w:cs="Arial"/>
                <w:b/>
                <w:bCs/>
                <w:i/>
                <w:sz w:val="20"/>
                <w:szCs w:val="20"/>
                <w:lang w:val="sr-Latn-ME"/>
              </w:rPr>
              <w:t>R.b</w:t>
            </w:r>
          </w:p>
        </w:tc>
        <w:tc>
          <w:tcPr>
            <w:tcW w:w="2238" w:type="dxa"/>
            <w:vMerge w:val="restart"/>
            <w:shd w:val="clear" w:color="auto" w:fill="auto"/>
            <w:vAlign w:val="center"/>
          </w:tcPr>
          <w:p w:rsidR="001B2128" w:rsidRPr="003341AF" w:rsidRDefault="001B2128" w:rsidP="00291635">
            <w:pPr>
              <w:spacing w:after="0" w:line="240" w:lineRule="auto"/>
              <w:jc w:val="center"/>
              <w:rPr>
                <w:rFonts w:ascii="Arial" w:eastAsia="Times New Roman" w:hAnsi="Arial" w:cs="Arial"/>
                <w:b/>
                <w:bCs/>
                <w:i/>
                <w:sz w:val="20"/>
                <w:szCs w:val="20"/>
                <w:lang w:val="sr-Latn-ME"/>
              </w:rPr>
            </w:pPr>
            <w:r w:rsidRPr="003341AF">
              <w:rPr>
                <w:rFonts w:ascii="Arial" w:eastAsia="Times New Roman" w:hAnsi="Arial" w:cs="Arial"/>
                <w:b/>
                <w:bCs/>
                <w:i/>
                <w:sz w:val="20"/>
                <w:szCs w:val="20"/>
                <w:lang w:val="sr-Latn-ME"/>
              </w:rPr>
              <w:t>Opis rizika</w:t>
            </w:r>
          </w:p>
        </w:tc>
        <w:tc>
          <w:tcPr>
            <w:tcW w:w="1843" w:type="dxa"/>
            <w:vMerge w:val="restart"/>
            <w:shd w:val="clear" w:color="auto" w:fill="auto"/>
            <w:vAlign w:val="center"/>
          </w:tcPr>
          <w:p w:rsidR="001B2128" w:rsidRPr="003341AF" w:rsidRDefault="001B2128" w:rsidP="00291635">
            <w:pPr>
              <w:spacing w:after="0" w:line="240" w:lineRule="auto"/>
              <w:jc w:val="center"/>
              <w:rPr>
                <w:rFonts w:ascii="Arial" w:eastAsia="Times New Roman" w:hAnsi="Arial" w:cs="Arial"/>
                <w:b/>
                <w:bCs/>
                <w:i/>
                <w:sz w:val="20"/>
                <w:szCs w:val="20"/>
                <w:lang w:val="sr-Latn-ME"/>
              </w:rPr>
            </w:pPr>
            <w:r w:rsidRPr="003341AF">
              <w:rPr>
                <w:rFonts w:ascii="Arial" w:eastAsia="Times New Roman" w:hAnsi="Arial" w:cs="Arial"/>
                <w:b/>
                <w:bCs/>
                <w:i/>
                <w:sz w:val="20"/>
                <w:szCs w:val="20"/>
                <w:lang w:val="sr-Latn-ME"/>
              </w:rPr>
              <w:t>Vrsta rizika</w:t>
            </w:r>
          </w:p>
        </w:tc>
        <w:tc>
          <w:tcPr>
            <w:tcW w:w="2581" w:type="dxa"/>
            <w:gridSpan w:val="3"/>
            <w:tcBorders>
              <w:bottom w:val="single" w:sz="4" w:space="0" w:color="auto"/>
            </w:tcBorders>
            <w:shd w:val="clear" w:color="auto" w:fill="auto"/>
            <w:vAlign w:val="center"/>
          </w:tcPr>
          <w:p w:rsidR="001B2128" w:rsidRPr="003341AF" w:rsidRDefault="001B2128" w:rsidP="00291635">
            <w:pPr>
              <w:spacing w:after="0" w:line="240" w:lineRule="auto"/>
              <w:jc w:val="center"/>
              <w:rPr>
                <w:rFonts w:ascii="Arial" w:eastAsia="Times New Roman" w:hAnsi="Arial" w:cs="Arial"/>
                <w:b/>
                <w:bCs/>
                <w:i/>
                <w:sz w:val="20"/>
                <w:szCs w:val="20"/>
                <w:lang w:val="sr-Latn-ME"/>
              </w:rPr>
            </w:pPr>
            <w:r w:rsidRPr="003341AF">
              <w:rPr>
                <w:rFonts w:ascii="Arial" w:eastAsia="Times New Roman" w:hAnsi="Arial" w:cs="Arial"/>
                <w:b/>
                <w:bCs/>
                <w:i/>
                <w:sz w:val="20"/>
                <w:szCs w:val="20"/>
                <w:lang w:val="sr-Latn-ME"/>
              </w:rPr>
              <w:t>Rangiranje rizika</w:t>
            </w:r>
          </w:p>
        </w:tc>
        <w:tc>
          <w:tcPr>
            <w:tcW w:w="1984" w:type="dxa"/>
            <w:vMerge w:val="restart"/>
            <w:vAlign w:val="center"/>
          </w:tcPr>
          <w:p w:rsidR="001B2128" w:rsidRPr="003341AF" w:rsidRDefault="001B2128" w:rsidP="00291635">
            <w:pPr>
              <w:spacing w:after="0" w:line="240" w:lineRule="auto"/>
              <w:jc w:val="center"/>
              <w:rPr>
                <w:rFonts w:ascii="Arial" w:eastAsia="Times New Roman" w:hAnsi="Arial" w:cs="Arial"/>
                <w:b/>
                <w:bCs/>
                <w:i/>
                <w:sz w:val="20"/>
                <w:szCs w:val="20"/>
                <w:lang w:val="sr-Latn-ME"/>
              </w:rPr>
            </w:pPr>
            <w:r w:rsidRPr="003341AF">
              <w:rPr>
                <w:rFonts w:ascii="Arial" w:eastAsia="Times New Roman" w:hAnsi="Arial" w:cs="Arial"/>
                <w:b/>
                <w:bCs/>
                <w:i/>
                <w:sz w:val="20"/>
                <w:szCs w:val="20"/>
                <w:lang w:val="sr-Latn-ME"/>
              </w:rPr>
              <w:t>Pregled postojećih kontrola</w:t>
            </w:r>
          </w:p>
        </w:tc>
        <w:tc>
          <w:tcPr>
            <w:tcW w:w="2410" w:type="dxa"/>
            <w:vMerge w:val="restart"/>
            <w:shd w:val="clear" w:color="auto" w:fill="auto"/>
            <w:vAlign w:val="center"/>
          </w:tcPr>
          <w:p w:rsidR="001B2128" w:rsidRPr="003341AF" w:rsidRDefault="001B2128" w:rsidP="00291635">
            <w:pPr>
              <w:spacing w:after="0" w:line="240" w:lineRule="auto"/>
              <w:jc w:val="center"/>
              <w:rPr>
                <w:rFonts w:ascii="Arial" w:eastAsia="Times New Roman" w:hAnsi="Arial" w:cs="Arial"/>
                <w:b/>
                <w:bCs/>
                <w:i/>
                <w:sz w:val="20"/>
                <w:szCs w:val="20"/>
                <w:lang w:val="sr-Latn-ME"/>
              </w:rPr>
            </w:pPr>
            <w:r w:rsidRPr="003341AF">
              <w:rPr>
                <w:rFonts w:ascii="Arial" w:eastAsia="Times New Roman" w:hAnsi="Arial" w:cs="Arial"/>
                <w:b/>
                <w:bCs/>
                <w:i/>
                <w:sz w:val="20"/>
                <w:szCs w:val="20"/>
                <w:lang w:val="sr-Latn-ME"/>
              </w:rPr>
              <w:t>Reagovanje na rizik</w:t>
            </w:r>
          </w:p>
        </w:tc>
        <w:tc>
          <w:tcPr>
            <w:tcW w:w="1701" w:type="dxa"/>
            <w:vMerge w:val="restart"/>
            <w:shd w:val="clear" w:color="auto" w:fill="auto"/>
            <w:vAlign w:val="center"/>
          </w:tcPr>
          <w:p w:rsidR="001B2128" w:rsidRPr="003341AF" w:rsidRDefault="001B2128" w:rsidP="00291635">
            <w:pPr>
              <w:spacing w:after="0" w:line="240" w:lineRule="auto"/>
              <w:jc w:val="center"/>
              <w:rPr>
                <w:rFonts w:ascii="Arial" w:eastAsia="Times New Roman" w:hAnsi="Arial" w:cs="Arial"/>
                <w:b/>
                <w:bCs/>
                <w:i/>
                <w:sz w:val="20"/>
                <w:szCs w:val="20"/>
                <w:lang w:val="sr-Latn-ME"/>
              </w:rPr>
            </w:pPr>
            <w:r w:rsidRPr="003341AF">
              <w:rPr>
                <w:rFonts w:ascii="Arial" w:eastAsia="Times New Roman" w:hAnsi="Arial" w:cs="Arial"/>
                <w:b/>
                <w:bCs/>
                <w:i/>
                <w:sz w:val="20"/>
                <w:szCs w:val="20"/>
                <w:lang w:val="sr-Latn-ME"/>
              </w:rPr>
              <w:t>Odgovorna osoba za rizik</w:t>
            </w:r>
          </w:p>
        </w:tc>
        <w:tc>
          <w:tcPr>
            <w:tcW w:w="1531" w:type="dxa"/>
            <w:vMerge w:val="restart"/>
            <w:shd w:val="clear" w:color="auto" w:fill="auto"/>
            <w:vAlign w:val="center"/>
          </w:tcPr>
          <w:p w:rsidR="001B2128" w:rsidRPr="003341AF" w:rsidRDefault="001B2128" w:rsidP="00291635">
            <w:pPr>
              <w:spacing w:after="0" w:line="240" w:lineRule="auto"/>
              <w:jc w:val="center"/>
              <w:rPr>
                <w:rFonts w:ascii="Arial" w:eastAsia="Times New Roman" w:hAnsi="Arial" w:cs="Arial"/>
                <w:b/>
                <w:bCs/>
                <w:i/>
                <w:sz w:val="20"/>
                <w:szCs w:val="20"/>
                <w:lang w:val="sr-Latn-ME"/>
              </w:rPr>
            </w:pPr>
            <w:r w:rsidRPr="003341AF">
              <w:rPr>
                <w:rFonts w:ascii="Arial" w:eastAsia="Times New Roman" w:hAnsi="Arial" w:cs="Arial"/>
                <w:b/>
                <w:bCs/>
                <w:i/>
                <w:sz w:val="20"/>
                <w:szCs w:val="20"/>
                <w:lang w:val="sr-Latn-ME"/>
              </w:rPr>
              <w:t>Rok za</w:t>
            </w:r>
          </w:p>
          <w:p w:rsidR="001B2128" w:rsidRPr="003341AF" w:rsidRDefault="001B2128" w:rsidP="00291635">
            <w:pPr>
              <w:spacing w:after="0" w:line="240" w:lineRule="auto"/>
              <w:jc w:val="center"/>
              <w:rPr>
                <w:rFonts w:ascii="Arial" w:eastAsia="Times New Roman" w:hAnsi="Arial" w:cs="Arial"/>
                <w:b/>
                <w:bCs/>
                <w:i/>
                <w:sz w:val="20"/>
                <w:szCs w:val="20"/>
                <w:lang w:val="sr-Latn-ME"/>
              </w:rPr>
            </w:pPr>
            <w:r w:rsidRPr="003341AF">
              <w:rPr>
                <w:rFonts w:ascii="Arial" w:eastAsia="Times New Roman" w:hAnsi="Arial" w:cs="Arial"/>
                <w:b/>
                <w:bCs/>
                <w:i/>
                <w:sz w:val="20"/>
                <w:szCs w:val="20"/>
                <w:lang w:val="sr-Latn-ME"/>
              </w:rPr>
              <w:t xml:space="preserve"> sprovođenje</w:t>
            </w:r>
          </w:p>
        </w:tc>
      </w:tr>
      <w:tr w:rsidR="001B2128" w:rsidRPr="003341AF" w:rsidTr="00291635">
        <w:trPr>
          <w:cantSplit/>
          <w:trHeight w:val="356"/>
        </w:trPr>
        <w:tc>
          <w:tcPr>
            <w:tcW w:w="455" w:type="dxa"/>
            <w:vMerge/>
            <w:shd w:val="clear" w:color="auto" w:fill="auto"/>
            <w:vAlign w:val="center"/>
          </w:tcPr>
          <w:p w:rsidR="001B2128" w:rsidRPr="003341AF" w:rsidRDefault="001B2128" w:rsidP="00291635">
            <w:pPr>
              <w:spacing w:after="0" w:line="360" w:lineRule="auto"/>
              <w:jc w:val="both"/>
              <w:rPr>
                <w:rFonts w:ascii="Arial" w:eastAsia="Times New Roman" w:hAnsi="Arial" w:cs="Arial"/>
                <w:bCs/>
                <w:lang w:val="sr-Latn-ME"/>
              </w:rPr>
            </w:pPr>
          </w:p>
        </w:tc>
        <w:tc>
          <w:tcPr>
            <w:tcW w:w="2238" w:type="dxa"/>
            <w:vMerge/>
            <w:shd w:val="clear" w:color="auto" w:fill="auto"/>
            <w:vAlign w:val="center"/>
          </w:tcPr>
          <w:p w:rsidR="001B2128" w:rsidRPr="003341AF" w:rsidRDefault="001B2128" w:rsidP="00291635">
            <w:pPr>
              <w:autoSpaceDE w:val="0"/>
              <w:autoSpaceDN w:val="0"/>
              <w:adjustRightInd w:val="0"/>
              <w:spacing w:after="0" w:line="240" w:lineRule="auto"/>
              <w:jc w:val="both"/>
              <w:rPr>
                <w:rFonts w:ascii="Arial" w:eastAsia="Calibri" w:hAnsi="Arial" w:cs="Arial"/>
                <w:color w:val="000000"/>
                <w:lang w:val="sr-Latn-ME"/>
              </w:rPr>
            </w:pPr>
          </w:p>
        </w:tc>
        <w:tc>
          <w:tcPr>
            <w:tcW w:w="1843" w:type="dxa"/>
            <w:vMerge/>
            <w:shd w:val="clear" w:color="auto" w:fill="auto"/>
            <w:vAlign w:val="center"/>
          </w:tcPr>
          <w:p w:rsidR="001B2128" w:rsidRPr="003341AF" w:rsidRDefault="001B2128" w:rsidP="00291635">
            <w:pPr>
              <w:autoSpaceDE w:val="0"/>
              <w:autoSpaceDN w:val="0"/>
              <w:adjustRightInd w:val="0"/>
              <w:spacing w:after="0" w:line="240" w:lineRule="atLeast"/>
              <w:jc w:val="both"/>
              <w:rPr>
                <w:rFonts w:ascii="Arial" w:eastAsia="Calibri" w:hAnsi="Arial" w:cs="Arial"/>
                <w:highlight w:val="yellow"/>
                <w:lang w:val="sr-Latn-ME"/>
              </w:rPr>
            </w:pPr>
          </w:p>
        </w:tc>
        <w:tc>
          <w:tcPr>
            <w:tcW w:w="708" w:type="dxa"/>
            <w:tcBorders>
              <w:top w:val="single" w:sz="4" w:space="0" w:color="auto"/>
              <w:bottom w:val="single" w:sz="4" w:space="0" w:color="auto"/>
              <w:right w:val="single" w:sz="4" w:space="0" w:color="auto"/>
            </w:tcBorders>
            <w:shd w:val="clear" w:color="auto" w:fill="auto"/>
            <w:vAlign w:val="center"/>
          </w:tcPr>
          <w:p w:rsidR="001B2128" w:rsidRPr="003341AF" w:rsidRDefault="001B2128" w:rsidP="00291635">
            <w:pPr>
              <w:spacing w:after="0" w:line="360" w:lineRule="auto"/>
              <w:jc w:val="center"/>
              <w:rPr>
                <w:rFonts w:ascii="Arial" w:eastAsia="Times New Roman" w:hAnsi="Arial" w:cs="Arial"/>
                <w:b/>
                <w:bCs/>
                <w:i/>
                <w:spacing w:val="-4"/>
                <w:sz w:val="14"/>
                <w:szCs w:val="14"/>
                <w:lang w:val="sr-Latn-ME"/>
              </w:rPr>
            </w:pPr>
            <w:r w:rsidRPr="003341AF">
              <w:rPr>
                <w:rFonts w:ascii="Arial" w:eastAsia="Times New Roman" w:hAnsi="Arial" w:cs="Arial"/>
                <w:b/>
                <w:bCs/>
                <w:i/>
                <w:spacing w:val="-4"/>
                <w:sz w:val="14"/>
                <w:szCs w:val="14"/>
                <w:lang w:val="sr-Latn-ME"/>
              </w:rPr>
              <w:t>Uticaj</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rsidR="001B2128" w:rsidRPr="003341AF" w:rsidRDefault="001B2128" w:rsidP="00291635">
            <w:pPr>
              <w:spacing w:after="0" w:line="360" w:lineRule="auto"/>
              <w:jc w:val="center"/>
              <w:rPr>
                <w:rFonts w:ascii="Arial" w:eastAsia="Times New Roman" w:hAnsi="Arial" w:cs="Arial"/>
                <w:b/>
                <w:bCs/>
                <w:i/>
                <w:spacing w:val="-6"/>
                <w:sz w:val="14"/>
                <w:szCs w:val="14"/>
                <w:lang w:val="sr-Latn-ME"/>
              </w:rPr>
            </w:pPr>
            <w:r w:rsidRPr="003341AF">
              <w:rPr>
                <w:rFonts w:ascii="Arial" w:eastAsia="Times New Roman" w:hAnsi="Arial" w:cs="Arial"/>
                <w:b/>
                <w:bCs/>
                <w:i/>
                <w:spacing w:val="-6"/>
                <w:sz w:val="14"/>
                <w:szCs w:val="14"/>
                <w:lang w:val="sr-Latn-ME"/>
              </w:rPr>
              <w:t>Vjerovatnoća</w:t>
            </w:r>
          </w:p>
        </w:tc>
        <w:tc>
          <w:tcPr>
            <w:tcW w:w="709" w:type="dxa"/>
            <w:tcBorders>
              <w:top w:val="single" w:sz="4" w:space="0" w:color="auto"/>
              <w:left w:val="single" w:sz="4" w:space="0" w:color="auto"/>
              <w:bottom w:val="single" w:sz="4" w:space="0" w:color="auto"/>
            </w:tcBorders>
            <w:shd w:val="clear" w:color="auto" w:fill="auto"/>
            <w:vAlign w:val="center"/>
          </w:tcPr>
          <w:p w:rsidR="001B2128" w:rsidRPr="003341AF" w:rsidRDefault="001B2128" w:rsidP="00291635">
            <w:pPr>
              <w:spacing w:after="0" w:line="360" w:lineRule="auto"/>
              <w:jc w:val="center"/>
              <w:rPr>
                <w:rFonts w:ascii="Arial" w:eastAsia="Times New Roman" w:hAnsi="Arial" w:cs="Arial"/>
                <w:b/>
                <w:bCs/>
                <w:i/>
                <w:spacing w:val="-6"/>
                <w:sz w:val="14"/>
                <w:szCs w:val="14"/>
                <w:lang w:val="sr-Latn-ME"/>
              </w:rPr>
            </w:pPr>
            <w:r w:rsidRPr="003341AF">
              <w:rPr>
                <w:rFonts w:ascii="Arial" w:eastAsia="Times New Roman" w:hAnsi="Arial" w:cs="Arial"/>
                <w:b/>
                <w:bCs/>
                <w:i/>
                <w:spacing w:val="-6"/>
                <w:sz w:val="14"/>
                <w:szCs w:val="14"/>
                <w:lang w:val="sr-Latn-ME"/>
              </w:rPr>
              <w:t>Ukupno</w:t>
            </w:r>
          </w:p>
        </w:tc>
        <w:tc>
          <w:tcPr>
            <w:tcW w:w="1984" w:type="dxa"/>
            <w:vMerge/>
          </w:tcPr>
          <w:p w:rsidR="001B2128" w:rsidRPr="003341AF" w:rsidRDefault="001B2128" w:rsidP="00291635">
            <w:pPr>
              <w:autoSpaceDE w:val="0"/>
              <w:autoSpaceDN w:val="0"/>
              <w:adjustRightInd w:val="0"/>
              <w:spacing w:after="0" w:line="240" w:lineRule="auto"/>
              <w:jc w:val="both"/>
              <w:rPr>
                <w:rFonts w:ascii="Arial" w:eastAsia="Calibri" w:hAnsi="Arial" w:cs="Arial"/>
                <w:lang w:val="sr-Latn-ME"/>
              </w:rPr>
            </w:pPr>
          </w:p>
        </w:tc>
        <w:tc>
          <w:tcPr>
            <w:tcW w:w="2410" w:type="dxa"/>
            <w:vMerge/>
            <w:shd w:val="clear" w:color="auto" w:fill="auto"/>
            <w:vAlign w:val="center"/>
          </w:tcPr>
          <w:p w:rsidR="001B2128" w:rsidRPr="003341AF" w:rsidRDefault="001B2128" w:rsidP="00291635">
            <w:pPr>
              <w:autoSpaceDE w:val="0"/>
              <w:autoSpaceDN w:val="0"/>
              <w:adjustRightInd w:val="0"/>
              <w:spacing w:after="0" w:line="240" w:lineRule="auto"/>
              <w:jc w:val="both"/>
              <w:rPr>
                <w:rFonts w:ascii="Arial" w:eastAsia="Calibri" w:hAnsi="Arial" w:cs="Arial"/>
                <w:color w:val="000000"/>
                <w:lang w:val="sr-Latn-ME"/>
              </w:rPr>
            </w:pPr>
          </w:p>
        </w:tc>
        <w:tc>
          <w:tcPr>
            <w:tcW w:w="1701" w:type="dxa"/>
            <w:vMerge/>
            <w:shd w:val="clear" w:color="auto" w:fill="auto"/>
            <w:vAlign w:val="center"/>
          </w:tcPr>
          <w:p w:rsidR="001B2128" w:rsidRPr="003341AF" w:rsidRDefault="001B2128" w:rsidP="00291635">
            <w:pPr>
              <w:spacing w:after="0" w:line="360" w:lineRule="auto"/>
              <w:jc w:val="both"/>
              <w:rPr>
                <w:rFonts w:ascii="Arial" w:eastAsia="Times New Roman" w:hAnsi="Arial" w:cs="Arial"/>
                <w:bCs/>
                <w:i/>
                <w:lang w:val="sr-Latn-ME"/>
              </w:rPr>
            </w:pPr>
          </w:p>
        </w:tc>
        <w:tc>
          <w:tcPr>
            <w:tcW w:w="1531" w:type="dxa"/>
            <w:vMerge/>
            <w:shd w:val="clear" w:color="auto" w:fill="auto"/>
            <w:vAlign w:val="center"/>
          </w:tcPr>
          <w:p w:rsidR="001B2128" w:rsidRPr="003341AF" w:rsidRDefault="001B2128" w:rsidP="00291635">
            <w:pPr>
              <w:spacing w:after="0" w:line="360" w:lineRule="auto"/>
              <w:jc w:val="both"/>
              <w:rPr>
                <w:rFonts w:ascii="Arial" w:eastAsia="Times New Roman" w:hAnsi="Arial" w:cs="Arial"/>
                <w:bCs/>
                <w:lang w:val="sr-Latn-ME"/>
              </w:rPr>
            </w:pPr>
          </w:p>
        </w:tc>
      </w:tr>
      <w:tr w:rsidR="001B2128" w:rsidRPr="003341AF" w:rsidTr="00291635">
        <w:trPr>
          <w:cantSplit/>
          <w:trHeight w:val="3052"/>
        </w:trPr>
        <w:tc>
          <w:tcPr>
            <w:tcW w:w="455" w:type="dxa"/>
            <w:shd w:val="clear" w:color="auto" w:fill="auto"/>
            <w:vAlign w:val="center"/>
          </w:tcPr>
          <w:p w:rsidR="001B2128" w:rsidRPr="003341AF" w:rsidRDefault="001B2128" w:rsidP="00291635">
            <w:pPr>
              <w:spacing w:after="0" w:line="360" w:lineRule="auto"/>
              <w:jc w:val="center"/>
              <w:rPr>
                <w:rFonts w:ascii="Arial" w:eastAsia="Times New Roman" w:hAnsi="Arial" w:cs="Arial"/>
                <w:bCs/>
                <w:sz w:val="20"/>
                <w:szCs w:val="20"/>
                <w:lang w:val="sr-Latn-ME"/>
              </w:rPr>
            </w:pPr>
            <w:r w:rsidRPr="003341AF">
              <w:rPr>
                <w:rFonts w:ascii="Arial" w:eastAsia="Times New Roman" w:hAnsi="Arial" w:cs="Arial"/>
                <w:bCs/>
                <w:sz w:val="20"/>
                <w:szCs w:val="20"/>
                <w:lang w:val="sr-Latn-ME"/>
              </w:rPr>
              <w:t>1</w:t>
            </w:r>
          </w:p>
        </w:tc>
        <w:tc>
          <w:tcPr>
            <w:tcW w:w="2238" w:type="dxa"/>
            <w:shd w:val="clear" w:color="auto" w:fill="auto"/>
            <w:vAlign w:val="center"/>
          </w:tcPr>
          <w:p w:rsidR="001B2128" w:rsidRPr="003341AF" w:rsidRDefault="001B2128" w:rsidP="00291635">
            <w:pPr>
              <w:autoSpaceDE w:val="0"/>
              <w:autoSpaceDN w:val="0"/>
              <w:adjustRightInd w:val="0"/>
              <w:spacing w:after="0" w:line="240" w:lineRule="auto"/>
              <w:jc w:val="both"/>
              <w:rPr>
                <w:rFonts w:ascii="Arial" w:eastAsia="Calibri" w:hAnsi="Arial" w:cs="Arial"/>
                <w:sz w:val="20"/>
                <w:szCs w:val="20"/>
                <w:lang w:val="sr-Latn-ME"/>
              </w:rPr>
            </w:pPr>
            <w:r w:rsidRPr="003341AF">
              <w:rPr>
                <w:rFonts w:ascii="Arial" w:eastAsia="Calibri" w:hAnsi="Arial" w:cs="Arial"/>
                <w:sz w:val="20"/>
                <w:szCs w:val="20"/>
                <w:lang w:val="sr-Latn-ME"/>
              </w:rPr>
              <w:t>Nemogućnos pružanja supervizijske podrške zbog velikog obima supervizijskih zahtjeva</w:t>
            </w:r>
          </w:p>
        </w:tc>
        <w:tc>
          <w:tcPr>
            <w:tcW w:w="1843" w:type="dxa"/>
            <w:shd w:val="clear" w:color="auto" w:fill="auto"/>
            <w:vAlign w:val="center"/>
          </w:tcPr>
          <w:p w:rsidR="001B2128" w:rsidRPr="003341AF" w:rsidRDefault="001B2128" w:rsidP="00291635">
            <w:pPr>
              <w:autoSpaceDE w:val="0"/>
              <w:autoSpaceDN w:val="0"/>
              <w:adjustRightInd w:val="0"/>
              <w:spacing w:after="0" w:line="240" w:lineRule="atLeast"/>
              <w:jc w:val="center"/>
              <w:rPr>
                <w:rFonts w:ascii="Arial" w:eastAsia="Calibri" w:hAnsi="Arial" w:cs="Arial"/>
                <w:sz w:val="20"/>
                <w:szCs w:val="20"/>
                <w:lang w:val="sr-Latn-ME"/>
              </w:rPr>
            </w:pPr>
            <w:r w:rsidRPr="003341AF">
              <w:rPr>
                <w:rFonts w:ascii="Arial" w:eastAsia="Calibri" w:hAnsi="Arial" w:cs="Arial"/>
                <w:sz w:val="20"/>
                <w:szCs w:val="20"/>
                <w:lang w:val="sr-Latn-ME"/>
              </w:rPr>
              <w:t>Operativni</w:t>
            </w:r>
          </w:p>
        </w:tc>
        <w:tc>
          <w:tcPr>
            <w:tcW w:w="708" w:type="dxa"/>
            <w:tcBorders>
              <w:top w:val="single" w:sz="4" w:space="0" w:color="auto"/>
              <w:bottom w:val="single" w:sz="4" w:space="0" w:color="auto"/>
              <w:right w:val="single" w:sz="4" w:space="0" w:color="auto"/>
            </w:tcBorders>
            <w:shd w:val="clear" w:color="auto" w:fill="auto"/>
            <w:vAlign w:val="center"/>
          </w:tcPr>
          <w:p w:rsidR="001B2128" w:rsidRPr="003341AF" w:rsidRDefault="001B2128" w:rsidP="00291635">
            <w:pPr>
              <w:spacing w:after="0" w:line="240" w:lineRule="auto"/>
              <w:jc w:val="center"/>
              <w:rPr>
                <w:rFonts w:ascii="Arial" w:eastAsia="Times New Roman" w:hAnsi="Arial" w:cs="Arial"/>
                <w:bCs/>
                <w:sz w:val="20"/>
                <w:szCs w:val="20"/>
                <w:lang w:val="sr-Latn-ME"/>
              </w:rPr>
            </w:pPr>
            <w:r w:rsidRPr="003341AF">
              <w:rPr>
                <w:rFonts w:ascii="Arial" w:eastAsia="Times New Roman" w:hAnsi="Arial" w:cs="Arial"/>
                <w:bCs/>
                <w:sz w:val="20"/>
                <w:szCs w:val="20"/>
                <w:lang w:val="sr-Latn-ME"/>
              </w:rPr>
              <w:t>3</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rsidR="001B2128" w:rsidRPr="003341AF" w:rsidRDefault="001B2128" w:rsidP="00291635">
            <w:pPr>
              <w:spacing w:after="0" w:line="240" w:lineRule="auto"/>
              <w:jc w:val="center"/>
              <w:rPr>
                <w:rFonts w:ascii="Arial" w:eastAsia="Times New Roman" w:hAnsi="Arial" w:cs="Arial"/>
                <w:bCs/>
                <w:sz w:val="20"/>
                <w:szCs w:val="20"/>
                <w:lang w:val="sr-Latn-ME"/>
              </w:rPr>
            </w:pPr>
            <w:r w:rsidRPr="003341AF">
              <w:rPr>
                <w:rFonts w:ascii="Arial" w:eastAsia="Times New Roman" w:hAnsi="Arial" w:cs="Arial"/>
                <w:bCs/>
                <w:sz w:val="20"/>
                <w:szCs w:val="20"/>
                <w:lang w:val="sr-Latn-ME"/>
              </w:rPr>
              <w:t>4</w:t>
            </w:r>
          </w:p>
        </w:tc>
        <w:tc>
          <w:tcPr>
            <w:tcW w:w="709" w:type="dxa"/>
            <w:tcBorders>
              <w:top w:val="single" w:sz="4" w:space="0" w:color="auto"/>
              <w:left w:val="single" w:sz="4" w:space="0" w:color="auto"/>
              <w:bottom w:val="single" w:sz="4" w:space="0" w:color="auto"/>
            </w:tcBorders>
            <w:shd w:val="clear" w:color="auto" w:fill="auto"/>
            <w:vAlign w:val="center"/>
          </w:tcPr>
          <w:p w:rsidR="001B2128" w:rsidRPr="003341AF" w:rsidRDefault="001B2128" w:rsidP="00291635">
            <w:pPr>
              <w:spacing w:after="0" w:line="240" w:lineRule="auto"/>
              <w:jc w:val="center"/>
              <w:rPr>
                <w:rFonts w:ascii="Arial" w:eastAsia="Times New Roman" w:hAnsi="Arial" w:cs="Arial"/>
                <w:bCs/>
                <w:sz w:val="20"/>
                <w:szCs w:val="20"/>
                <w:lang w:val="sr-Latn-ME"/>
              </w:rPr>
            </w:pPr>
            <w:r w:rsidRPr="003341AF">
              <w:rPr>
                <w:rFonts w:ascii="Arial" w:eastAsia="Times New Roman" w:hAnsi="Arial" w:cs="Arial"/>
                <w:bCs/>
                <w:sz w:val="20"/>
                <w:szCs w:val="20"/>
                <w:lang w:val="sr-Latn-ME"/>
              </w:rPr>
              <w:t>12</w:t>
            </w:r>
          </w:p>
        </w:tc>
        <w:tc>
          <w:tcPr>
            <w:tcW w:w="1984" w:type="dxa"/>
            <w:vAlign w:val="center"/>
          </w:tcPr>
          <w:p w:rsidR="001B2128" w:rsidRPr="003341AF" w:rsidRDefault="001B2128" w:rsidP="00291635">
            <w:pPr>
              <w:autoSpaceDE w:val="0"/>
              <w:autoSpaceDN w:val="0"/>
              <w:adjustRightInd w:val="0"/>
              <w:spacing w:after="0" w:line="240" w:lineRule="auto"/>
              <w:jc w:val="both"/>
              <w:rPr>
                <w:rFonts w:ascii="Arial" w:eastAsia="Calibri" w:hAnsi="Arial" w:cs="Arial"/>
                <w:color w:val="000000"/>
                <w:sz w:val="20"/>
                <w:szCs w:val="20"/>
                <w:lang w:val="sr-Latn-ME"/>
              </w:rPr>
            </w:pPr>
            <w:r w:rsidRPr="003341AF">
              <w:rPr>
                <w:rFonts w:ascii="Arial" w:eastAsia="Calibri" w:hAnsi="Arial" w:cs="Arial"/>
                <w:color w:val="000000"/>
                <w:sz w:val="20"/>
                <w:szCs w:val="20"/>
                <w:lang w:val="sr-Latn-ME"/>
              </w:rPr>
              <w:t>Zakon o socijalnoj i dječjoj zaštiti ,</w:t>
            </w:r>
          </w:p>
          <w:p w:rsidR="001B2128" w:rsidRPr="003341AF" w:rsidRDefault="001B2128" w:rsidP="00291635">
            <w:pPr>
              <w:autoSpaceDE w:val="0"/>
              <w:autoSpaceDN w:val="0"/>
              <w:adjustRightInd w:val="0"/>
              <w:spacing w:after="0" w:line="240" w:lineRule="auto"/>
              <w:jc w:val="both"/>
              <w:rPr>
                <w:rFonts w:ascii="Arial" w:eastAsia="Calibri" w:hAnsi="Arial" w:cs="Arial"/>
                <w:color w:val="000000"/>
                <w:sz w:val="20"/>
                <w:szCs w:val="20"/>
                <w:lang w:val="sr-Latn-ME"/>
              </w:rPr>
            </w:pPr>
            <w:r w:rsidRPr="003341AF">
              <w:rPr>
                <w:rFonts w:ascii="Arial" w:eastAsia="Calibri" w:hAnsi="Arial" w:cs="Arial"/>
                <w:color w:val="000000"/>
                <w:sz w:val="20"/>
                <w:szCs w:val="20"/>
                <w:lang w:val="sr-Latn-ME"/>
              </w:rPr>
              <w:t>Broj izraženih zahtejva od strane stručnih radnika za supervizijskom podrškom</w:t>
            </w:r>
          </w:p>
        </w:tc>
        <w:tc>
          <w:tcPr>
            <w:tcW w:w="2410" w:type="dxa"/>
            <w:shd w:val="clear" w:color="auto" w:fill="auto"/>
            <w:vAlign w:val="center"/>
          </w:tcPr>
          <w:p w:rsidR="001B2128" w:rsidRPr="003341AF" w:rsidRDefault="001B2128" w:rsidP="00291635">
            <w:pPr>
              <w:autoSpaceDE w:val="0"/>
              <w:autoSpaceDN w:val="0"/>
              <w:adjustRightInd w:val="0"/>
              <w:spacing w:after="0" w:line="240" w:lineRule="auto"/>
              <w:jc w:val="both"/>
              <w:rPr>
                <w:rFonts w:ascii="Arial" w:eastAsia="Calibri" w:hAnsi="Arial" w:cs="Arial"/>
                <w:color w:val="000000"/>
                <w:sz w:val="20"/>
                <w:szCs w:val="20"/>
                <w:lang w:val="sr-Latn-ME"/>
              </w:rPr>
            </w:pPr>
            <w:r w:rsidRPr="003341AF">
              <w:rPr>
                <w:rFonts w:ascii="Arial" w:eastAsia="Calibri" w:hAnsi="Arial" w:cs="Arial"/>
                <w:color w:val="000000"/>
                <w:sz w:val="20"/>
                <w:szCs w:val="20"/>
                <w:lang w:val="sr-Latn-ME"/>
              </w:rPr>
              <w:t>Edukacija većeg broja zaposlenih iz oblasti supervizije da bi se odgovorilo na sve zahtjeve</w:t>
            </w:r>
          </w:p>
        </w:tc>
        <w:tc>
          <w:tcPr>
            <w:tcW w:w="1701" w:type="dxa"/>
            <w:shd w:val="clear" w:color="auto" w:fill="auto"/>
            <w:vAlign w:val="center"/>
          </w:tcPr>
          <w:p w:rsidR="001B2128" w:rsidRPr="003341AF" w:rsidRDefault="001B2128" w:rsidP="00291635">
            <w:pPr>
              <w:spacing w:after="0" w:line="240" w:lineRule="auto"/>
              <w:jc w:val="both"/>
              <w:rPr>
                <w:rFonts w:ascii="Arial" w:eastAsia="Calibri" w:hAnsi="Arial" w:cs="Arial"/>
                <w:sz w:val="20"/>
                <w:szCs w:val="20"/>
                <w:lang w:val="sr-Latn-ME"/>
              </w:rPr>
            </w:pPr>
            <w:r w:rsidRPr="003341AF">
              <w:rPr>
                <w:rFonts w:ascii="Arial" w:eastAsia="Calibri" w:hAnsi="Arial" w:cs="Arial"/>
                <w:sz w:val="20"/>
                <w:szCs w:val="20"/>
                <w:lang w:val="sr-Latn-ME"/>
              </w:rPr>
              <w:t>Direktor</w:t>
            </w:r>
          </w:p>
          <w:p w:rsidR="001B2128" w:rsidRPr="003341AF" w:rsidRDefault="001B2128" w:rsidP="00291635">
            <w:pPr>
              <w:spacing w:after="0" w:line="240" w:lineRule="auto"/>
              <w:jc w:val="both"/>
              <w:rPr>
                <w:rFonts w:ascii="Arial" w:eastAsia="Calibri" w:hAnsi="Arial" w:cs="Arial"/>
                <w:sz w:val="20"/>
                <w:szCs w:val="20"/>
                <w:lang w:val="sr-Latn-ME"/>
              </w:rPr>
            </w:pPr>
            <w:r w:rsidRPr="003341AF">
              <w:rPr>
                <w:rFonts w:ascii="Arial" w:eastAsia="Calibri" w:hAnsi="Arial" w:cs="Arial"/>
                <w:sz w:val="20"/>
                <w:szCs w:val="20"/>
                <w:lang w:val="sr-Latn-ME"/>
              </w:rPr>
              <w:t>Zaposleni u ZSDZ koji obavljaju poslove supervizije</w:t>
            </w:r>
          </w:p>
          <w:p w:rsidR="001B2128" w:rsidRPr="003341AF" w:rsidRDefault="001B2128" w:rsidP="00291635">
            <w:pPr>
              <w:spacing w:after="0" w:line="240" w:lineRule="auto"/>
              <w:jc w:val="both"/>
              <w:rPr>
                <w:rFonts w:ascii="Arial" w:eastAsia="Calibri" w:hAnsi="Arial" w:cs="Arial"/>
                <w:i/>
                <w:color w:val="FF0000"/>
                <w:sz w:val="20"/>
                <w:szCs w:val="20"/>
                <w:lang w:val="sr-Latn-ME"/>
              </w:rPr>
            </w:pPr>
          </w:p>
        </w:tc>
        <w:tc>
          <w:tcPr>
            <w:tcW w:w="1531" w:type="dxa"/>
            <w:shd w:val="clear" w:color="auto" w:fill="auto"/>
            <w:vAlign w:val="center"/>
          </w:tcPr>
          <w:p w:rsidR="001B2128" w:rsidRPr="003341AF" w:rsidRDefault="001B2128" w:rsidP="00291635">
            <w:pPr>
              <w:spacing w:line="360" w:lineRule="auto"/>
              <w:jc w:val="both"/>
              <w:rPr>
                <w:rFonts w:ascii="Arial" w:eastAsia="Calibri" w:hAnsi="Arial" w:cs="Arial"/>
                <w:sz w:val="20"/>
                <w:szCs w:val="20"/>
                <w:lang w:val="sr-Latn-ME"/>
              </w:rPr>
            </w:pPr>
            <w:r w:rsidRPr="003341AF">
              <w:rPr>
                <w:rFonts w:ascii="Arial" w:eastAsia="Calibri" w:hAnsi="Arial" w:cs="Arial"/>
                <w:sz w:val="20"/>
                <w:szCs w:val="20"/>
                <w:lang w:val="sr-Latn-ME"/>
              </w:rPr>
              <w:t xml:space="preserve">Svakodnevno </w:t>
            </w:r>
          </w:p>
        </w:tc>
      </w:tr>
      <w:tr w:rsidR="001B2128" w:rsidRPr="003341AF" w:rsidTr="00291635">
        <w:trPr>
          <w:cantSplit/>
          <w:trHeight w:val="3497"/>
        </w:trPr>
        <w:tc>
          <w:tcPr>
            <w:tcW w:w="455" w:type="dxa"/>
            <w:shd w:val="clear" w:color="auto" w:fill="auto"/>
            <w:vAlign w:val="center"/>
          </w:tcPr>
          <w:p w:rsidR="001B2128" w:rsidRPr="003341AF" w:rsidRDefault="001B2128" w:rsidP="00291635">
            <w:pPr>
              <w:spacing w:after="0" w:line="360" w:lineRule="auto"/>
              <w:jc w:val="center"/>
              <w:rPr>
                <w:rFonts w:ascii="Arial" w:eastAsia="Times New Roman" w:hAnsi="Arial" w:cs="Arial"/>
                <w:bCs/>
                <w:sz w:val="20"/>
                <w:szCs w:val="20"/>
                <w:lang w:val="sr-Latn-ME"/>
              </w:rPr>
            </w:pPr>
            <w:r w:rsidRPr="003341AF">
              <w:rPr>
                <w:rFonts w:ascii="Arial" w:eastAsia="Times New Roman" w:hAnsi="Arial" w:cs="Arial"/>
                <w:bCs/>
                <w:sz w:val="20"/>
                <w:szCs w:val="20"/>
                <w:lang w:val="sr-Latn-ME"/>
              </w:rPr>
              <w:t>2.</w:t>
            </w:r>
          </w:p>
        </w:tc>
        <w:tc>
          <w:tcPr>
            <w:tcW w:w="2238" w:type="dxa"/>
            <w:shd w:val="clear" w:color="auto" w:fill="auto"/>
            <w:vAlign w:val="center"/>
          </w:tcPr>
          <w:p w:rsidR="001B2128" w:rsidRPr="003341AF" w:rsidRDefault="001B2128" w:rsidP="00291635">
            <w:pPr>
              <w:autoSpaceDE w:val="0"/>
              <w:autoSpaceDN w:val="0"/>
              <w:adjustRightInd w:val="0"/>
              <w:spacing w:after="0" w:line="240" w:lineRule="auto"/>
              <w:jc w:val="both"/>
              <w:rPr>
                <w:rFonts w:ascii="Arial" w:eastAsia="Calibri" w:hAnsi="Arial" w:cs="Arial"/>
                <w:sz w:val="20"/>
                <w:szCs w:val="20"/>
                <w:lang w:val="sr-Latn-ME"/>
              </w:rPr>
            </w:pPr>
            <w:r w:rsidRPr="003341AF">
              <w:rPr>
                <w:rFonts w:ascii="Arial" w:eastAsia="Calibri" w:hAnsi="Arial" w:cs="Arial"/>
                <w:sz w:val="20"/>
                <w:szCs w:val="20"/>
                <w:lang w:val="sr-Latn-ME"/>
              </w:rPr>
              <w:t xml:space="preserve">Nedostatak stručnih radnika koja posjeduju specijalizovana znanja nephodna za realizaciju složenih istraživanja </w:t>
            </w:r>
          </w:p>
        </w:tc>
        <w:tc>
          <w:tcPr>
            <w:tcW w:w="1843" w:type="dxa"/>
            <w:shd w:val="clear" w:color="auto" w:fill="auto"/>
            <w:vAlign w:val="center"/>
          </w:tcPr>
          <w:p w:rsidR="001B2128" w:rsidRPr="003341AF" w:rsidRDefault="001B2128" w:rsidP="00291635">
            <w:pPr>
              <w:autoSpaceDE w:val="0"/>
              <w:autoSpaceDN w:val="0"/>
              <w:adjustRightInd w:val="0"/>
              <w:spacing w:after="0" w:line="240" w:lineRule="atLeast"/>
              <w:jc w:val="center"/>
              <w:rPr>
                <w:rFonts w:ascii="Arial" w:eastAsia="Calibri" w:hAnsi="Arial" w:cs="Arial"/>
                <w:sz w:val="20"/>
                <w:szCs w:val="20"/>
                <w:lang w:val="sr-Latn-ME"/>
              </w:rPr>
            </w:pPr>
            <w:r w:rsidRPr="003341AF">
              <w:rPr>
                <w:rFonts w:ascii="Arial" w:eastAsia="Calibri" w:hAnsi="Arial" w:cs="Arial"/>
                <w:sz w:val="20"/>
                <w:szCs w:val="20"/>
                <w:lang w:val="sr-Latn-ME"/>
              </w:rPr>
              <w:t>Operativni,</w:t>
            </w:r>
          </w:p>
          <w:p w:rsidR="001B2128" w:rsidRPr="003341AF" w:rsidRDefault="001B2128" w:rsidP="00291635">
            <w:pPr>
              <w:autoSpaceDE w:val="0"/>
              <w:autoSpaceDN w:val="0"/>
              <w:adjustRightInd w:val="0"/>
              <w:spacing w:after="0" w:line="240" w:lineRule="atLeast"/>
              <w:jc w:val="center"/>
              <w:rPr>
                <w:rFonts w:ascii="Arial" w:eastAsia="Calibri" w:hAnsi="Arial" w:cs="Arial"/>
                <w:sz w:val="20"/>
                <w:szCs w:val="20"/>
                <w:lang w:val="sr-Latn-ME"/>
              </w:rPr>
            </w:pPr>
            <w:r w:rsidRPr="003341AF">
              <w:rPr>
                <w:rFonts w:ascii="Arial" w:eastAsia="Calibri" w:hAnsi="Arial" w:cs="Arial"/>
                <w:sz w:val="20"/>
                <w:szCs w:val="20"/>
                <w:lang w:val="sr-Latn-ME"/>
              </w:rPr>
              <w:t>finansijski</w:t>
            </w:r>
          </w:p>
        </w:tc>
        <w:tc>
          <w:tcPr>
            <w:tcW w:w="708" w:type="dxa"/>
            <w:tcBorders>
              <w:top w:val="single" w:sz="4" w:space="0" w:color="auto"/>
              <w:bottom w:val="single" w:sz="4" w:space="0" w:color="auto"/>
              <w:right w:val="single" w:sz="4" w:space="0" w:color="auto"/>
            </w:tcBorders>
            <w:shd w:val="clear" w:color="auto" w:fill="auto"/>
            <w:vAlign w:val="center"/>
          </w:tcPr>
          <w:p w:rsidR="001B2128" w:rsidRPr="003341AF" w:rsidRDefault="001B2128" w:rsidP="00291635">
            <w:pPr>
              <w:spacing w:after="0" w:line="240" w:lineRule="auto"/>
              <w:jc w:val="center"/>
              <w:rPr>
                <w:rFonts w:ascii="Arial" w:eastAsia="Times New Roman" w:hAnsi="Arial" w:cs="Arial"/>
                <w:bCs/>
                <w:sz w:val="20"/>
                <w:szCs w:val="20"/>
                <w:lang w:val="sr-Latn-ME"/>
              </w:rPr>
            </w:pPr>
            <w:r w:rsidRPr="003341AF">
              <w:rPr>
                <w:rFonts w:ascii="Arial" w:eastAsia="Times New Roman" w:hAnsi="Arial" w:cs="Arial"/>
                <w:bCs/>
                <w:sz w:val="20"/>
                <w:szCs w:val="20"/>
                <w:lang w:val="sr-Latn-ME"/>
              </w:rPr>
              <w:t>3</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rsidR="001B2128" w:rsidRPr="003341AF" w:rsidRDefault="001B2128" w:rsidP="00291635">
            <w:pPr>
              <w:spacing w:after="0" w:line="240" w:lineRule="auto"/>
              <w:jc w:val="center"/>
              <w:rPr>
                <w:rFonts w:ascii="Arial" w:eastAsia="Times New Roman" w:hAnsi="Arial" w:cs="Arial"/>
                <w:bCs/>
                <w:sz w:val="20"/>
                <w:szCs w:val="20"/>
                <w:lang w:val="sr-Latn-ME"/>
              </w:rPr>
            </w:pPr>
            <w:r w:rsidRPr="003341AF">
              <w:rPr>
                <w:rFonts w:ascii="Arial" w:eastAsia="Times New Roman" w:hAnsi="Arial" w:cs="Arial"/>
                <w:bCs/>
                <w:sz w:val="20"/>
                <w:szCs w:val="20"/>
                <w:lang w:val="sr-Latn-ME"/>
              </w:rPr>
              <w:t>4</w:t>
            </w:r>
          </w:p>
        </w:tc>
        <w:tc>
          <w:tcPr>
            <w:tcW w:w="709" w:type="dxa"/>
            <w:tcBorders>
              <w:top w:val="single" w:sz="4" w:space="0" w:color="auto"/>
              <w:left w:val="single" w:sz="4" w:space="0" w:color="auto"/>
              <w:bottom w:val="single" w:sz="4" w:space="0" w:color="auto"/>
            </w:tcBorders>
            <w:shd w:val="clear" w:color="auto" w:fill="auto"/>
            <w:vAlign w:val="center"/>
          </w:tcPr>
          <w:p w:rsidR="001B2128" w:rsidRPr="003341AF" w:rsidRDefault="001B2128" w:rsidP="00291635">
            <w:pPr>
              <w:spacing w:after="0" w:line="240" w:lineRule="auto"/>
              <w:jc w:val="center"/>
              <w:rPr>
                <w:rFonts w:ascii="Arial" w:eastAsia="Times New Roman" w:hAnsi="Arial" w:cs="Arial"/>
                <w:bCs/>
                <w:sz w:val="20"/>
                <w:szCs w:val="20"/>
                <w:lang w:val="sr-Latn-ME"/>
              </w:rPr>
            </w:pPr>
            <w:r w:rsidRPr="003341AF">
              <w:rPr>
                <w:rFonts w:ascii="Arial" w:eastAsia="Times New Roman" w:hAnsi="Arial" w:cs="Arial"/>
                <w:bCs/>
                <w:sz w:val="20"/>
                <w:szCs w:val="20"/>
                <w:lang w:val="sr-Latn-ME"/>
              </w:rPr>
              <w:t>12</w:t>
            </w:r>
          </w:p>
        </w:tc>
        <w:tc>
          <w:tcPr>
            <w:tcW w:w="1984" w:type="dxa"/>
            <w:vAlign w:val="center"/>
          </w:tcPr>
          <w:p w:rsidR="001B2128" w:rsidRPr="003341AF" w:rsidRDefault="001B2128" w:rsidP="00291635">
            <w:pPr>
              <w:autoSpaceDE w:val="0"/>
              <w:autoSpaceDN w:val="0"/>
              <w:adjustRightInd w:val="0"/>
              <w:spacing w:after="0" w:line="240" w:lineRule="auto"/>
              <w:jc w:val="both"/>
              <w:rPr>
                <w:rFonts w:ascii="Arial" w:eastAsia="Calibri" w:hAnsi="Arial" w:cs="Arial"/>
                <w:color w:val="000000"/>
                <w:sz w:val="20"/>
                <w:szCs w:val="20"/>
                <w:lang w:val="sr-Latn-ME"/>
              </w:rPr>
            </w:pPr>
            <w:r w:rsidRPr="003341AF">
              <w:rPr>
                <w:rFonts w:ascii="Arial" w:eastAsia="Calibri" w:hAnsi="Arial" w:cs="Arial"/>
                <w:color w:val="000000"/>
                <w:sz w:val="20"/>
                <w:szCs w:val="20"/>
                <w:lang w:val="sr-Latn-ME"/>
              </w:rPr>
              <w:t>Pravilnik o unutrašnjoj organizaciji  I sistematizaciji</w:t>
            </w:r>
          </w:p>
        </w:tc>
        <w:tc>
          <w:tcPr>
            <w:tcW w:w="2410" w:type="dxa"/>
            <w:shd w:val="clear" w:color="auto" w:fill="auto"/>
            <w:vAlign w:val="center"/>
          </w:tcPr>
          <w:p w:rsidR="001B2128" w:rsidRPr="003341AF" w:rsidRDefault="001B2128" w:rsidP="00291635">
            <w:pPr>
              <w:autoSpaceDE w:val="0"/>
              <w:autoSpaceDN w:val="0"/>
              <w:adjustRightInd w:val="0"/>
              <w:spacing w:after="0" w:line="240" w:lineRule="auto"/>
              <w:jc w:val="both"/>
              <w:rPr>
                <w:rFonts w:ascii="Arial" w:eastAsia="Calibri" w:hAnsi="Arial" w:cs="Arial"/>
                <w:color w:val="000000"/>
                <w:sz w:val="20"/>
                <w:szCs w:val="20"/>
                <w:lang w:val="sr-Latn-ME"/>
              </w:rPr>
            </w:pPr>
            <w:r w:rsidRPr="003341AF">
              <w:rPr>
                <w:rFonts w:ascii="Arial" w:eastAsia="Calibri" w:hAnsi="Arial" w:cs="Arial"/>
                <w:color w:val="000000"/>
                <w:sz w:val="20"/>
                <w:szCs w:val="20"/>
                <w:lang w:val="sr-Latn-ME"/>
              </w:rPr>
              <w:t xml:space="preserve">Edukacija postojećih  zaposlenih iz oblasti istraživanja </w:t>
            </w:r>
          </w:p>
          <w:p w:rsidR="001B2128" w:rsidRPr="003341AF" w:rsidRDefault="001B2128" w:rsidP="00291635">
            <w:pPr>
              <w:autoSpaceDE w:val="0"/>
              <w:autoSpaceDN w:val="0"/>
              <w:adjustRightInd w:val="0"/>
              <w:spacing w:after="0" w:line="240" w:lineRule="auto"/>
              <w:jc w:val="both"/>
              <w:rPr>
                <w:rFonts w:ascii="Arial" w:eastAsia="Calibri" w:hAnsi="Arial" w:cs="Arial"/>
                <w:color w:val="000000"/>
                <w:sz w:val="20"/>
                <w:szCs w:val="20"/>
                <w:lang w:val="sr-Latn-ME"/>
              </w:rPr>
            </w:pPr>
            <w:r w:rsidRPr="003341AF">
              <w:rPr>
                <w:rFonts w:ascii="Arial" w:eastAsia="Calibri" w:hAnsi="Arial" w:cs="Arial"/>
                <w:color w:val="000000"/>
                <w:sz w:val="20"/>
                <w:szCs w:val="20"/>
                <w:lang w:val="sr-Latn-ME"/>
              </w:rPr>
              <w:t>Zapošljavanje novih izvršilaca za ove poslove</w:t>
            </w:r>
          </w:p>
        </w:tc>
        <w:tc>
          <w:tcPr>
            <w:tcW w:w="1701" w:type="dxa"/>
            <w:shd w:val="clear" w:color="auto" w:fill="auto"/>
            <w:vAlign w:val="center"/>
          </w:tcPr>
          <w:p w:rsidR="001B2128" w:rsidRPr="003341AF" w:rsidRDefault="001B2128" w:rsidP="00291635">
            <w:pPr>
              <w:spacing w:after="0" w:line="240" w:lineRule="auto"/>
              <w:jc w:val="both"/>
              <w:rPr>
                <w:rFonts w:ascii="Arial" w:eastAsia="Calibri" w:hAnsi="Arial" w:cs="Arial"/>
                <w:sz w:val="20"/>
                <w:szCs w:val="20"/>
                <w:lang w:val="sr-Latn-ME"/>
              </w:rPr>
            </w:pPr>
            <w:r w:rsidRPr="003341AF">
              <w:rPr>
                <w:rFonts w:ascii="Arial" w:eastAsia="Calibri" w:hAnsi="Arial" w:cs="Arial"/>
                <w:sz w:val="20"/>
                <w:szCs w:val="20"/>
                <w:lang w:val="sr-Latn-ME"/>
              </w:rPr>
              <w:t>Direktor</w:t>
            </w:r>
          </w:p>
          <w:p w:rsidR="001B2128" w:rsidRPr="003341AF" w:rsidRDefault="001B2128" w:rsidP="00291635">
            <w:pPr>
              <w:spacing w:after="0" w:line="240" w:lineRule="auto"/>
              <w:jc w:val="both"/>
              <w:rPr>
                <w:rFonts w:ascii="Arial" w:eastAsia="Calibri" w:hAnsi="Arial" w:cs="Arial"/>
                <w:sz w:val="20"/>
                <w:szCs w:val="20"/>
                <w:lang w:val="sr-Latn-ME"/>
              </w:rPr>
            </w:pPr>
          </w:p>
          <w:p w:rsidR="001B2128" w:rsidRPr="003341AF" w:rsidRDefault="001B2128" w:rsidP="00291635">
            <w:pPr>
              <w:spacing w:after="0" w:line="240" w:lineRule="auto"/>
              <w:jc w:val="both"/>
              <w:rPr>
                <w:rFonts w:ascii="Arial" w:eastAsia="Calibri" w:hAnsi="Arial" w:cs="Arial"/>
                <w:i/>
                <w:color w:val="FF0000"/>
                <w:sz w:val="20"/>
                <w:szCs w:val="20"/>
                <w:lang w:val="sr-Latn-ME"/>
              </w:rPr>
            </w:pPr>
            <w:r w:rsidRPr="003341AF">
              <w:rPr>
                <w:rFonts w:ascii="Arial" w:eastAsia="Calibri" w:hAnsi="Arial" w:cs="Arial"/>
                <w:sz w:val="20"/>
                <w:szCs w:val="20"/>
                <w:lang w:val="sr-Latn-ME"/>
              </w:rPr>
              <w:t>Samostalni savjetnici za istraživačke poslove</w:t>
            </w:r>
          </w:p>
        </w:tc>
        <w:tc>
          <w:tcPr>
            <w:tcW w:w="1531" w:type="dxa"/>
            <w:shd w:val="clear" w:color="auto" w:fill="auto"/>
            <w:vAlign w:val="center"/>
          </w:tcPr>
          <w:p w:rsidR="001B2128" w:rsidRPr="003341AF" w:rsidRDefault="001B2128" w:rsidP="00291635">
            <w:pPr>
              <w:spacing w:line="360" w:lineRule="auto"/>
              <w:jc w:val="both"/>
              <w:rPr>
                <w:rFonts w:ascii="Arial" w:eastAsia="Calibri" w:hAnsi="Arial" w:cs="Arial"/>
                <w:sz w:val="20"/>
                <w:szCs w:val="20"/>
                <w:lang w:val="sr-Latn-ME"/>
              </w:rPr>
            </w:pPr>
            <w:r w:rsidRPr="003341AF">
              <w:rPr>
                <w:rFonts w:ascii="Arial" w:eastAsia="Calibri" w:hAnsi="Arial" w:cs="Arial"/>
                <w:sz w:val="20"/>
                <w:szCs w:val="20"/>
                <w:lang w:val="sr-Latn-ME"/>
              </w:rPr>
              <w:t>Svakodnevno</w:t>
            </w:r>
          </w:p>
        </w:tc>
      </w:tr>
      <w:tr w:rsidR="001B2128" w:rsidRPr="003341AF" w:rsidTr="00291635">
        <w:trPr>
          <w:cantSplit/>
          <w:trHeight w:val="3497"/>
        </w:trPr>
        <w:tc>
          <w:tcPr>
            <w:tcW w:w="455" w:type="dxa"/>
            <w:shd w:val="clear" w:color="auto" w:fill="auto"/>
            <w:vAlign w:val="center"/>
          </w:tcPr>
          <w:p w:rsidR="001B2128" w:rsidRPr="003341AF" w:rsidRDefault="001B2128" w:rsidP="00291635">
            <w:pPr>
              <w:spacing w:after="0" w:line="360" w:lineRule="auto"/>
              <w:jc w:val="center"/>
              <w:rPr>
                <w:rFonts w:ascii="Arial" w:eastAsia="Times New Roman" w:hAnsi="Arial" w:cs="Arial"/>
                <w:bCs/>
                <w:sz w:val="20"/>
                <w:szCs w:val="20"/>
                <w:lang w:val="sr-Latn-ME"/>
              </w:rPr>
            </w:pPr>
            <w:r w:rsidRPr="003341AF">
              <w:rPr>
                <w:rFonts w:ascii="Arial" w:eastAsia="Times New Roman" w:hAnsi="Arial" w:cs="Arial"/>
                <w:bCs/>
                <w:sz w:val="20"/>
                <w:szCs w:val="20"/>
                <w:lang w:val="sr-Latn-ME"/>
              </w:rPr>
              <w:lastRenderedPageBreak/>
              <w:t>3.</w:t>
            </w:r>
          </w:p>
        </w:tc>
        <w:tc>
          <w:tcPr>
            <w:tcW w:w="2238" w:type="dxa"/>
            <w:shd w:val="clear" w:color="auto" w:fill="auto"/>
            <w:vAlign w:val="center"/>
          </w:tcPr>
          <w:p w:rsidR="001B2128" w:rsidRPr="003341AF" w:rsidRDefault="001B2128" w:rsidP="00291635">
            <w:pPr>
              <w:autoSpaceDE w:val="0"/>
              <w:autoSpaceDN w:val="0"/>
              <w:adjustRightInd w:val="0"/>
              <w:spacing w:after="0" w:line="240" w:lineRule="auto"/>
              <w:jc w:val="both"/>
              <w:rPr>
                <w:rFonts w:ascii="Arial" w:eastAsia="Calibri" w:hAnsi="Arial" w:cs="Arial"/>
                <w:sz w:val="20"/>
                <w:szCs w:val="20"/>
                <w:lang w:val="sr-Latn-ME"/>
              </w:rPr>
            </w:pPr>
            <w:r w:rsidRPr="003341AF">
              <w:rPr>
                <w:rFonts w:ascii="Arial" w:eastAsia="Calibri" w:hAnsi="Arial" w:cs="Arial"/>
                <w:sz w:val="20"/>
                <w:szCs w:val="20"/>
                <w:lang w:val="sr-Latn-ME"/>
              </w:rPr>
              <w:t>Nemogućnost da se odgovori na zahtjeve za stručni nadzor</w:t>
            </w:r>
          </w:p>
        </w:tc>
        <w:tc>
          <w:tcPr>
            <w:tcW w:w="1843" w:type="dxa"/>
            <w:shd w:val="clear" w:color="auto" w:fill="auto"/>
            <w:vAlign w:val="center"/>
          </w:tcPr>
          <w:p w:rsidR="001B2128" w:rsidRPr="003341AF" w:rsidRDefault="001B2128" w:rsidP="00291635">
            <w:pPr>
              <w:autoSpaceDE w:val="0"/>
              <w:autoSpaceDN w:val="0"/>
              <w:adjustRightInd w:val="0"/>
              <w:spacing w:after="0" w:line="240" w:lineRule="atLeast"/>
              <w:jc w:val="center"/>
              <w:rPr>
                <w:rFonts w:ascii="Arial" w:eastAsia="Calibri" w:hAnsi="Arial" w:cs="Arial"/>
                <w:sz w:val="20"/>
                <w:szCs w:val="20"/>
                <w:lang w:val="sr-Latn-ME"/>
              </w:rPr>
            </w:pPr>
            <w:r w:rsidRPr="003341AF">
              <w:rPr>
                <w:rFonts w:ascii="Arial" w:eastAsia="Calibri" w:hAnsi="Arial" w:cs="Arial"/>
                <w:sz w:val="20"/>
                <w:szCs w:val="20"/>
                <w:lang w:val="sr-Latn-ME"/>
              </w:rPr>
              <w:t>Operativni</w:t>
            </w:r>
          </w:p>
        </w:tc>
        <w:tc>
          <w:tcPr>
            <w:tcW w:w="708" w:type="dxa"/>
            <w:tcBorders>
              <w:top w:val="single" w:sz="4" w:space="0" w:color="auto"/>
              <w:bottom w:val="single" w:sz="4" w:space="0" w:color="auto"/>
              <w:right w:val="single" w:sz="4" w:space="0" w:color="auto"/>
            </w:tcBorders>
            <w:shd w:val="clear" w:color="auto" w:fill="auto"/>
            <w:vAlign w:val="center"/>
          </w:tcPr>
          <w:p w:rsidR="001B2128" w:rsidRPr="003341AF" w:rsidRDefault="001B2128" w:rsidP="00291635">
            <w:pPr>
              <w:spacing w:after="0" w:line="240" w:lineRule="auto"/>
              <w:jc w:val="center"/>
              <w:rPr>
                <w:rFonts w:ascii="Arial" w:eastAsia="Times New Roman" w:hAnsi="Arial" w:cs="Arial"/>
                <w:bCs/>
                <w:sz w:val="20"/>
                <w:szCs w:val="20"/>
                <w:lang w:val="sr-Latn-ME"/>
              </w:rPr>
            </w:pPr>
            <w:r w:rsidRPr="003341AF">
              <w:rPr>
                <w:rFonts w:ascii="Arial" w:eastAsia="Times New Roman" w:hAnsi="Arial" w:cs="Arial"/>
                <w:bCs/>
                <w:sz w:val="20"/>
                <w:szCs w:val="20"/>
                <w:lang w:val="sr-Latn-ME"/>
              </w:rPr>
              <w:t>3</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rsidR="001B2128" w:rsidRPr="003341AF" w:rsidRDefault="001B2128" w:rsidP="00291635">
            <w:pPr>
              <w:spacing w:after="0" w:line="240" w:lineRule="auto"/>
              <w:jc w:val="center"/>
              <w:rPr>
                <w:rFonts w:ascii="Arial" w:eastAsia="Times New Roman" w:hAnsi="Arial" w:cs="Arial"/>
                <w:bCs/>
                <w:sz w:val="20"/>
                <w:szCs w:val="20"/>
                <w:lang w:val="sr-Latn-ME"/>
              </w:rPr>
            </w:pPr>
            <w:r w:rsidRPr="003341AF">
              <w:rPr>
                <w:rFonts w:ascii="Arial" w:eastAsia="Times New Roman" w:hAnsi="Arial" w:cs="Arial"/>
                <w:bCs/>
                <w:sz w:val="20"/>
                <w:szCs w:val="20"/>
                <w:lang w:val="sr-Latn-ME"/>
              </w:rPr>
              <w:t>3</w:t>
            </w:r>
          </w:p>
        </w:tc>
        <w:tc>
          <w:tcPr>
            <w:tcW w:w="709" w:type="dxa"/>
            <w:tcBorders>
              <w:top w:val="single" w:sz="4" w:space="0" w:color="auto"/>
              <w:left w:val="single" w:sz="4" w:space="0" w:color="auto"/>
              <w:bottom w:val="single" w:sz="4" w:space="0" w:color="auto"/>
            </w:tcBorders>
            <w:shd w:val="clear" w:color="auto" w:fill="auto"/>
            <w:vAlign w:val="center"/>
          </w:tcPr>
          <w:p w:rsidR="001B2128" w:rsidRPr="003341AF" w:rsidRDefault="001B2128" w:rsidP="00291635">
            <w:pPr>
              <w:spacing w:after="0" w:line="240" w:lineRule="auto"/>
              <w:jc w:val="center"/>
              <w:rPr>
                <w:rFonts w:ascii="Arial" w:eastAsia="Times New Roman" w:hAnsi="Arial" w:cs="Arial"/>
                <w:bCs/>
                <w:sz w:val="20"/>
                <w:szCs w:val="20"/>
                <w:lang w:val="sr-Latn-ME"/>
              </w:rPr>
            </w:pPr>
            <w:r w:rsidRPr="003341AF">
              <w:rPr>
                <w:rFonts w:ascii="Arial" w:eastAsia="Times New Roman" w:hAnsi="Arial" w:cs="Arial"/>
                <w:bCs/>
                <w:sz w:val="20"/>
                <w:szCs w:val="20"/>
                <w:lang w:val="sr-Latn-ME"/>
              </w:rPr>
              <w:t>9</w:t>
            </w:r>
          </w:p>
        </w:tc>
        <w:tc>
          <w:tcPr>
            <w:tcW w:w="1984" w:type="dxa"/>
            <w:vAlign w:val="center"/>
          </w:tcPr>
          <w:p w:rsidR="001B2128" w:rsidRPr="003341AF" w:rsidRDefault="001B2128" w:rsidP="00291635">
            <w:pPr>
              <w:autoSpaceDE w:val="0"/>
              <w:autoSpaceDN w:val="0"/>
              <w:adjustRightInd w:val="0"/>
              <w:spacing w:after="0" w:line="240" w:lineRule="auto"/>
              <w:jc w:val="both"/>
              <w:rPr>
                <w:rFonts w:ascii="Arial" w:eastAsia="Calibri" w:hAnsi="Arial" w:cs="Arial"/>
                <w:color w:val="000000"/>
                <w:sz w:val="20"/>
                <w:szCs w:val="20"/>
                <w:lang w:val="sr-Latn-ME"/>
              </w:rPr>
            </w:pPr>
            <w:r w:rsidRPr="003341AF">
              <w:rPr>
                <w:rFonts w:ascii="Arial" w:eastAsia="Calibri" w:hAnsi="Arial" w:cs="Arial"/>
                <w:color w:val="000000"/>
                <w:sz w:val="20"/>
                <w:szCs w:val="20"/>
                <w:lang w:val="sr-Latn-ME"/>
              </w:rPr>
              <w:t>Ministarstvo rada i socijalnog staranja</w:t>
            </w:r>
          </w:p>
          <w:p w:rsidR="001B2128" w:rsidRPr="003341AF" w:rsidRDefault="001B2128" w:rsidP="00291635">
            <w:pPr>
              <w:autoSpaceDE w:val="0"/>
              <w:autoSpaceDN w:val="0"/>
              <w:adjustRightInd w:val="0"/>
              <w:spacing w:after="0" w:line="240" w:lineRule="auto"/>
              <w:jc w:val="both"/>
              <w:rPr>
                <w:rFonts w:ascii="Arial" w:eastAsia="Calibri" w:hAnsi="Arial" w:cs="Arial"/>
                <w:color w:val="000000"/>
                <w:sz w:val="20"/>
                <w:szCs w:val="20"/>
                <w:lang w:val="sr-Latn-ME"/>
              </w:rPr>
            </w:pPr>
            <w:r w:rsidRPr="003341AF">
              <w:rPr>
                <w:rFonts w:ascii="Arial" w:eastAsia="Calibri" w:hAnsi="Arial" w:cs="Arial"/>
                <w:color w:val="000000"/>
                <w:sz w:val="20"/>
                <w:szCs w:val="20"/>
                <w:lang w:val="sr-Latn-ME"/>
              </w:rPr>
              <w:t xml:space="preserve">Direkcija za stručni nadzor </w:t>
            </w:r>
          </w:p>
        </w:tc>
        <w:tc>
          <w:tcPr>
            <w:tcW w:w="2410" w:type="dxa"/>
            <w:shd w:val="clear" w:color="auto" w:fill="auto"/>
            <w:vAlign w:val="center"/>
          </w:tcPr>
          <w:p w:rsidR="001B2128" w:rsidRPr="003341AF" w:rsidRDefault="001B2128" w:rsidP="00291635">
            <w:pPr>
              <w:autoSpaceDE w:val="0"/>
              <w:autoSpaceDN w:val="0"/>
              <w:adjustRightInd w:val="0"/>
              <w:spacing w:after="0" w:line="240" w:lineRule="auto"/>
              <w:jc w:val="both"/>
              <w:rPr>
                <w:rFonts w:ascii="Arial" w:eastAsia="Calibri" w:hAnsi="Arial" w:cs="Arial"/>
                <w:color w:val="000000"/>
                <w:sz w:val="20"/>
                <w:szCs w:val="20"/>
                <w:lang w:val="sr-Latn-ME"/>
              </w:rPr>
            </w:pPr>
            <w:r w:rsidRPr="003341AF">
              <w:rPr>
                <w:rFonts w:ascii="Arial" w:eastAsia="Calibri" w:hAnsi="Arial" w:cs="Arial"/>
                <w:color w:val="000000"/>
                <w:sz w:val="20"/>
                <w:szCs w:val="20"/>
                <w:lang w:val="sr-Latn-ME"/>
              </w:rPr>
              <w:t xml:space="preserve">Razgraničiti  stručni nadzor, supervizijsku podršku i konferenciju slučaja </w:t>
            </w:r>
          </w:p>
        </w:tc>
        <w:tc>
          <w:tcPr>
            <w:tcW w:w="1701" w:type="dxa"/>
            <w:shd w:val="clear" w:color="auto" w:fill="auto"/>
            <w:vAlign w:val="center"/>
          </w:tcPr>
          <w:p w:rsidR="001B2128" w:rsidRPr="003341AF" w:rsidRDefault="001B2128" w:rsidP="00291635">
            <w:pPr>
              <w:spacing w:after="0" w:line="240" w:lineRule="auto"/>
              <w:jc w:val="both"/>
              <w:rPr>
                <w:rFonts w:ascii="Arial" w:eastAsia="Calibri" w:hAnsi="Arial" w:cs="Arial"/>
                <w:sz w:val="20"/>
                <w:szCs w:val="20"/>
                <w:lang w:val="sr-Latn-ME"/>
              </w:rPr>
            </w:pPr>
            <w:r w:rsidRPr="003341AF">
              <w:rPr>
                <w:rFonts w:ascii="Arial" w:eastAsia="Calibri" w:hAnsi="Arial" w:cs="Arial"/>
                <w:sz w:val="20"/>
                <w:szCs w:val="20"/>
                <w:lang w:val="sr-Latn-ME"/>
              </w:rPr>
              <w:t>Direktor</w:t>
            </w:r>
          </w:p>
          <w:p w:rsidR="001B2128" w:rsidRPr="003341AF" w:rsidRDefault="001B2128" w:rsidP="00291635">
            <w:pPr>
              <w:spacing w:after="0" w:line="240" w:lineRule="auto"/>
              <w:jc w:val="both"/>
              <w:rPr>
                <w:rFonts w:ascii="Arial" w:eastAsia="Calibri" w:hAnsi="Arial" w:cs="Arial"/>
                <w:sz w:val="20"/>
                <w:szCs w:val="20"/>
                <w:lang w:val="sr-Latn-ME"/>
              </w:rPr>
            </w:pPr>
          </w:p>
          <w:p w:rsidR="001B2128" w:rsidRPr="003341AF" w:rsidRDefault="001B2128" w:rsidP="00291635">
            <w:pPr>
              <w:spacing w:after="0" w:line="240" w:lineRule="auto"/>
              <w:jc w:val="both"/>
              <w:rPr>
                <w:rFonts w:ascii="Arial" w:eastAsia="Calibri" w:hAnsi="Arial" w:cs="Arial"/>
                <w:i/>
                <w:color w:val="FF0000"/>
                <w:sz w:val="20"/>
                <w:szCs w:val="20"/>
                <w:lang w:val="sr-Latn-ME"/>
              </w:rPr>
            </w:pPr>
            <w:r w:rsidRPr="003341AF">
              <w:rPr>
                <w:rFonts w:ascii="Arial" w:eastAsia="Calibri" w:hAnsi="Arial" w:cs="Arial"/>
                <w:sz w:val="20"/>
                <w:szCs w:val="20"/>
                <w:lang w:val="sr-Latn-ME"/>
              </w:rPr>
              <w:t>Samostalni savjetnici</w:t>
            </w:r>
            <w:r w:rsidRPr="003341AF">
              <w:rPr>
                <w:rFonts w:ascii="Arial" w:eastAsia="Calibri" w:hAnsi="Arial" w:cs="Arial"/>
                <w:i/>
                <w:sz w:val="20"/>
                <w:szCs w:val="20"/>
                <w:lang w:val="sr-Latn-ME"/>
              </w:rPr>
              <w:t xml:space="preserve"> </w:t>
            </w:r>
          </w:p>
        </w:tc>
        <w:tc>
          <w:tcPr>
            <w:tcW w:w="1531" w:type="dxa"/>
            <w:shd w:val="clear" w:color="auto" w:fill="auto"/>
            <w:vAlign w:val="center"/>
          </w:tcPr>
          <w:p w:rsidR="001B2128" w:rsidRPr="003341AF" w:rsidRDefault="001B2128" w:rsidP="00291635">
            <w:pPr>
              <w:spacing w:line="360" w:lineRule="auto"/>
              <w:jc w:val="both"/>
              <w:rPr>
                <w:rFonts w:ascii="Arial" w:eastAsia="Calibri" w:hAnsi="Arial" w:cs="Arial"/>
                <w:sz w:val="20"/>
                <w:szCs w:val="20"/>
                <w:lang w:val="sr-Latn-ME"/>
              </w:rPr>
            </w:pPr>
            <w:r w:rsidRPr="003341AF">
              <w:rPr>
                <w:rFonts w:ascii="Arial" w:eastAsia="Calibri" w:hAnsi="Arial" w:cs="Arial"/>
                <w:sz w:val="20"/>
                <w:szCs w:val="20"/>
                <w:lang w:val="sr-Latn-ME"/>
              </w:rPr>
              <w:t>Svakodnevno</w:t>
            </w:r>
          </w:p>
        </w:tc>
      </w:tr>
    </w:tbl>
    <w:p w:rsidR="001B2128" w:rsidRPr="003341AF" w:rsidRDefault="001B2128" w:rsidP="001B2128">
      <w:pPr>
        <w:rPr>
          <w:lang w:val="sr-Latn-ME"/>
        </w:rPr>
      </w:pPr>
    </w:p>
    <w:p w:rsidR="001B2128" w:rsidRPr="003341AF" w:rsidRDefault="001B2128" w:rsidP="001B2128">
      <w:pPr>
        <w:rPr>
          <w:lang w:val="sr-Latn-ME"/>
        </w:rPr>
      </w:pPr>
    </w:p>
    <w:p w:rsidR="001B2128" w:rsidRPr="003341AF" w:rsidRDefault="001B2128" w:rsidP="001B2128">
      <w:pPr>
        <w:rPr>
          <w:lang w:val="sr-Latn-ME"/>
        </w:rPr>
      </w:pPr>
    </w:p>
    <w:p w:rsidR="001B2128" w:rsidRPr="003341AF" w:rsidRDefault="001B2128" w:rsidP="001B2128">
      <w:pPr>
        <w:rPr>
          <w:lang w:val="sr-Latn-ME"/>
        </w:rPr>
      </w:pPr>
    </w:p>
    <w:p w:rsidR="001B2128" w:rsidRPr="003341AF" w:rsidRDefault="001B2128" w:rsidP="001B2128">
      <w:pPr>
        <w:rPr>
          <w:rFonts w:ascii="Arial" w:hAnsi="Arial" w:cs="Arial"/>
          <w:b/>
          <w:sz w:val="24"/>
          <w:szCs w:val="24"/>
          <w:lang w:val="sr-Latn-ME"/>
        </w:rPr>
      </w:pPr>
      <w:bookmarkStart w:id="0" w:name="_GoBack"/>
      <w:bookmarkEnd w:id="0"/>
    </w:p>
    <w:p w:rsidR="001B2128" w:rsidRPr="003341AF" w:rsidRDefault="001B2128" w:rsidP="001B2128">
      <w:pPr>
        <w:rPr>
          <w:rFonts w:ascii="Arial" w:hAnsi="Arial" w:cs="Arial"/>
          <w:b/>
          <w:sz w:val="24"/>
          <w:szCs w:val="24"/>
          <w:lang w:val="sr-Latn-ME"/>
        </w:rPr>
      </w:pPr>
    </w:p>
    <w:p w:rsidR="001B2128" w:rsidRPr="003341AF" w:rsidRDefault="001B2128" w:rsidP="001B2128">
      <w:pPr>
        <w:rPr>
          <w:rFonts w:ascii="Arial" w:hAnsi="Arial" w:cs="Arial"/>
          <w:sz w:val="20"/>
          <w:szCs w:val="20"/>
          <w:lang w:val="sr-Latn-ME"/>
        </w:rPr>
      </w:pPr>
    </w:p>
    <w:p w:rsidR="001B2128" w:rsidRPr="003341AF" w:rsidRDefault="001B2128" w:rsidP="001B2128">
      <w:pPr>
        <w:rPr>
          <w:rFonts w:ascii="Arial" w:hAnsi="Arial" w:cs="Arial"/>
          <w:sz w:val="20"/>
          <w:szCs w:val="20"/>
          <w:lang w:val="sr-Latn-ME"/>
        </w:rPr>
      </w:pPr>
    </w:p>
    <w:p w:rsidR="00B2240F" w:rsidRPr="001B2128" w:rsidRDefault="00B2240F" w:rsidP="00DF00BA">
      <w:pPr>
        <w:spacing w:line="240" w:lineRule="atLeast"/>
        <w:contextualSpacing/>
        <w:jc w:val="both"/>
        <w:rPr>
          <w:rFonts w:ascii="Arial" w:hAnsi="Arial" w:cs="Arial"/>
          <w:lang w:val="sr-Latn-ME"/>
        </w:rPr>
      </w:pPr>
    </w:p>
    <w:sectPr w:rsidR="00B2240F" w:rsidRPr="001B2128" w:rsidSect="005A41AC">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813" w:rsidRDefault="00D82813" w:rsidP="003244AD">
      <w:pPr>
        <w:spacing w:after="0" w:line="240" w:lineRule="auto"/>
      </w:pPr>
      <w:r>
        <w:separator/>
      </w:r>
    </w:p>
  </w:endnote>
  <w:endnote w:type="continuationSeparator" w:id="0">
    <w:p w:rsidR="00D82813" w:rsidRDefault="00D82813" w:rsidP="00324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813" w:rsidRDefault="00D82813" w:rsidP="003244AD">
      <w:pPr>
        <w:spacing w:after="0" w:line="240" w:lineRule="auto"/>
      </w:pPr>
      <w:r>
        <w:separator/>
      </w:r>
    </w:p>
  </w:footnote>
  <w:footnote w:type="continuationSeparator" w:id="0">
    <w:p w:rsidR="00D82813" w:rsidRDefault="00D82813" w:rsidP="003244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4AD" w:rsidRDefault="003244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25FB4"/>
    <w:multiLevelType w:val="hybridMultilevel"/>
    <w:tmpl w:val="9388358E"/>
    <w:lvl w:ilvl="0" w:tplc="2C1A000B">
      <w:start w:val="1"/>
      <w:numFmt w:val="bullet"/>
      <w:lvlText w:val=""/>
      <w:lvlJc w:val="left"/>
      <w:pPr>
        <w:ind w:left="578" w:hanging="360"/>
      </w:pPr>
      <w:rPr>
        <w:rFonts w:ascii="Wingdings" w:hAnsi="Wingdings" w:hint="default"/>
      </w:rPr>
    </w:lvl>
    <w:lvl w:ilvl="1" w:tplc="2C1A0003" w:tentative="1">
      <w:start w:val="1"/>
      <w:numFmt w:val="bullet"/>
      <w:lvlText w:val="o"/>
      <w:lvlJc w:val="left"/>
      <w:pPr>
        <w:ind w:left="1298" w:hanging="360"/>
      </w:pPr>
      <w:rPr>
        <w:rFonts w:ascii="Courier New" w:hAnsi="Courier New" w:cs="Courier New" w:hint="default"/>
      </w:rPr>
    </w:lvl>
    <w:lvl w:ilvl="2" w:tplc="2C1A0005" w:tentative="1">
      <w:start w:val="1"/>
      <w:numFmt w:val="bullet"/>
      <w:lvlText w:val=""/>
      <w:lvlJc w:val="left"/>
      <w:pPr>
        <w:ind w:left="2018" w:hanging="360"/>
      </w:pPr>
      <w:rPr>
        <w:rFonts w:ascii="Wingdings" w:hAnsi="Wingdings" w:hint="default"/>
      </w:rPr>
    </w:lvl>
    <w:lvl w:ilvl="3" w:tplc="2C1A0001" w:tentative="1">
      <w:start w:val="1"/>
      <w:numFmt w:val="bullet"/>
      <w:lvlText w:val=""/>
      <w:lvlJc w:val="left"/>
      <w:pPr>
        <w:ind w:left="2738" w:hanging="360"/>
      </w:pPr>
      <w:rPr>
        <w:rFonts w:ascii="Symbol" w:hAnsi="Symbol" w:hint="default"/>
      </w:rPr>
    </w:lvl>
    <w:lvl w:ilvl="4" w:tplc="2C1A0003" w:tentative="1">
      <w:start w:val="1"/>
      <w:numFmt w:val="bullet"/>
      <w:lvlText w:val="o"/>
      <w:lvlJc w:val="left"/>
      <w:pPr>
        <w:ind w:left="3458" w:hanging="360"/>
      </w:pPr>
      <w:rPr>
        <w:rFonts w:ascii="Courier New" w:hAnsi="Courier New" w:cs="Courier New" w:hint="default"/>
      </w:rPr>
    </w:lvl>
    <w:lvl w:ilvl="5" w:tplc="2C1A0005" w:tentative="1">
      <w:start w:val="1"/>
      <w:numFmt w:val="bullet"/>
      <w:lvlText w:val=""/>
      <w:lvlJc w:val="left"/>
      <w:pPr>
        <w:ind w:left="4178" w:hanging="360"/>
      </w:pPr>
      <w:rPr>
        <w:rFonts w:ascii="Wingdings" w:hAnsi="Wingdings" w:hint="default"/>
      </w:rPr>
    </w:lvl>
    <w:lvl w:ilvl="6" w:tplc="2C1A0001" w:tentative="1">
      <w:start w:val="1"/>
      <w:numFmt w:val="bullet"/>
      <w:lvlText w:val=""/>
      <w:lvlJc w:val="left"/>
      <w:pPr>
        <w:ind w:left="4898" w:hanging="360"/>
      </w:pPr>
      <w:rPr>
        <w:rFonts w:ascii="Symbol" w:hAnsi="Symbol" w:hint="default"/>
      </w:rPr>
    </w:lvl>
    <w:lvl w:ilvl="7" w:tplc="2C1A0003" w:tentative="1">
      <w:start w:val="1"/>
      <w:numFmt w:val="bullet"/>
      <w:lvlText w:val="o"/>
      <w:lvlJc w:val="left"/>
      <w:pPr>
        <w:ind w:left="5618" w:hanging="360"/>
      </w:pPr>
      <w:rPr>
        <w:rFonts w:ascii="Courier New" w:hAnsi="Courier New" w:cs="Courier New" w:hint="default"/>
      </w:rPr>
    </w:lvl>
    <w:lvl w:ilvl="8" w:tplc="2C1A0005" w:tentative="1">
      <w:start w:val="1"/>
      <w:numFmt w:val="bullet"/>
      <w:lvlText w:val=""/>
      <w:lvlJc w:val="left"/>
      <w:pPr>
        <w:ind w:left="6338" w:hanging="360"/>
      </w:pPr>
      <w:rPr>
        <w:rFonts w:ascii="Wingdings" w:hAnsi="Wingdings" w:hint="default"/>
      </w:rPr>
    </w:lvl>
  </w:abstractNum>
  <w:abstractNum w:abstractNumId="1" w15:restartNumberingAfterBreak="0">
    <w:nsid w:val="04572E68"/>
    <w:multiLevelType w:val="multilevel"/>
    <w:tmpl w:val="2CD43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B87A17"/>
    <w:multiLevelType w:val="hybridMultilevel"/>
    <w:tmpl w:val="4B2AE79C"/>
    <w:lvl w:ilvl="0" w:tplc="2C1A000B">
      <w:start w:val="1"/>
      <w:numFmt w:val="bullet"/>
      <w:lvlText w:val=""/>
      <w:lvlJc w:val="left"/>
      <w:pPr>
        <w:ind w:left="578" w:hanging="360"/>
      </w:pPr>
      <w:rPr>
        <w:rFonts w:ascii="Wingdings" w:hAnsi="Wingdings" w:hint="default"/>
      </w:rPr>
    </w:lvl>
    <w:lvl w:ilvl="1" w:tplc="2C1A0003" w:tentative="1">
      <w:start w:val="1"/>
      <w:numFmt w:val="bullet"/>
      <w:lvlText w:val="o"/>
      <w:lvlJc w:val="left"/>
      <w:pPr>
        <w:ind w:left="1298" w:hanging="360"/>
      </w:pPr>
      <w:rPr>
        <w:rFonts w:ascii="Courier New" w:hAnsi="Courier New" w:cs="Courier New" w:hint="default"/>
      </w:rPr>
    </w:lvl>
    <w:lvl w:ilvl="2" w:tplc="2C1A0005" w:tentative="1">
      <w:start w:val="1"/>
      <w:numFmt w:val="bullet"/>
      <w:lvlText w:val=""/>
      <w:lvlJc w:val="left"/>
      <w:pPr>
        <w:ind w:left="2018" w:hanging="360"/>
      </w:pPr>
      <w:rPr>
        <w:rFonts w:ascii="Wingdings" w:hAnsi="Wingdings" w:hint="default"/>
      </w:rPr>
    </w:lvl>
    <w:lvl w:ilvl="3" w:tplc="2C1A0001" w:tentative="1">
      <w:start w:val="1"/>
      <w:numFmt w:val="bullet"/>
      <w:lvlText w:val=""/>
      <w:lvlJc w:val="left"/>
      <w:pPr>
        <w:ind w:left="2738" w:hanging="360"/>
      </w:pPr>
      <w:rPr>
        <w:rFonts w:ascii="Symbol" w:hAnsi="Symbol" w:hint="default"/>
      </w:rPr>
    </w:lvl>
    <w:lvl w:ilvl="4" w:tplc="2C1A0003" w:tentative="1">
      <w:start w:val="1"/>
      <w:numFmt w:val="bullet"/>
      <w:lvlText w:val="o"/>
      <w:lvlJc w:val="left"/>
      <w:pPr>
        <w:ind w:left="3458" w:hanging="360"/>
      </w:pPr>
      <w:rPr>
        <w:rFonts w:ascii="Courier New" w:hAnsi="Courier New" w:cs="Courier New" w:hint="default"/>
      </w:rPr>
    </w:lvl>
    <w:lvl w:ilvl="5" w:tplc="2C1A0005" w:tentative="1">
      <w:start w:val="1"/>
      <w:numFmt w:val="bullet"/>
      <w:lvlText w:val=""/>
      <w:lvlJc w:val="left"/>
      <w:pPr>
        <w:ind w:left="4178" w:hanging="360"/>
      </w:pPr>
      <w:rPr>
        <w:rFonts w:ascii="Wingdings" w:hAnsi="Wingdings" w:hint="default"/>
      </w:rPr>
    </w:lvl>
    <w:lvl w:ilvl="6" w:tplc="2C1A0001" w:tentative="1">
      <w:start w:val="1"/>
      <w:numFmt w:val="bullet"/>
      <w:lvlText w:val=""/>
      <w:lvlJc w:val="left"/>
      <w:pPr>
        <w:ind w:left="4898" w:hanging="360"/>
      </w:pPr>
      <w:rPr>
        <w:rFonts w:ascii="Symbol" w:hAnsi="Symbol" w:hint="default"/>
      </w:rPr>
    </w:lvl>
    <w:lvl w:ilvl="7" w:tplc="2C1A0003" w:tentative="1">
      <w:start w:val="1"/>
      <w:numFmt w:val="bullet"/>
      <w:lvlText w:val="o"/>
      <w:lvlJc w:val="left"/>
      <w:pPr>
        <w:ind w:left="5618" w:hanging="360"/>
      </w:pPr>
      <w:rPr>
        <w:rFonts w:ascii="Courier New" w:hAnsi="Courier New" w:cs="Courier New" w:hint="default"/>
      </w:rPr>
    </w:lvl>
    <w:lvl w:ilvl="8" w:tplc="2C1A0005" w:tentative="1">
      <w:start w:val="1"/>
      <w:numFmt w:val="bullet"/>
      <w:lvlText w:val=""/>
      <w:lvlJc w:val="left"/>
      <w:pPr>
        <w:ind w:left="6338" w:hanging="360"/>
      </w:pPr>
      <w:rPr>
        <w:rFonts w:ascii="Wingdings" w:hAnsi="Wingdings" w:hint="default"/>
      </w:rPr>
    </w:lvl>
  </w:abstractNum>
  <w:abstractNum w:abstractNumId="3" w15:restartNumberingAfterBreak="0">
    <w:nsid w:val="1C1B67C8"/>
    <w:multiLevelType w:val="hybridMultilevel"/>
    <w:tmpl w:val="676890D4"/>
    <w:lvl w:ilvl="0" w:tplc="2C1A000B">
      <w:start w:val="1"/>
      <w:numFmt w:val="bullet"/>
      <w:lvlText w:val=""/>
      <w:lvlJc w:val="left"/>
      <w:pPr>
        <w:ind w:left="218" w:hanging="360"/>
      </w:pPr>
      <w:rPr>
        <w:rFonts w:ascii="Wingdings" w:hAnsi="Wingdings" w:hint="default"/>
      </w:rPr>
    </w:lvl>
    <w:lvl w:ilvl="1" w:tplc="2C1A0003" w:tentative="1">
      <w:start w:val="1"/>
      <w:numFmt w:val="bullet"/>
      <w:lvlText w:val="o"/>
      <w:lvlJc w:val="left"/>
      <w:pPr>
        <w:ind w:left="938" w:hanging="360"/>
      </w:pPr>
      <w:rPr>
        <w:rFonts w:ascii="Courier New" w:hAnsi="Courier New" w:cs="Courier New" w:hint="default"/>
      </w:rPr>
    </w:lvl>
    <w:lvl w:ilvl="2" w:tplc="2C1A0005" w:tentative="1">
      <w:start w:val="1"/>
      <w:numFmt w:val="bullet"/>
      <w:lvlText w:val=""/>
      <w:lvlJc w:val="left"/>
      <w:pPr>
        <w:ind w:left="1658" w:hanging="360"/>
      </w:pPr>
      <w:rPr>
        <w:rFonts w:ascii="Wingdings" w:hAnsi="Wingdings" w:hint="default"/>
      </w:rPr>
    </w:lvl>
    <w:lvl w:ilvl="3" w:tplc="2C1A0001" w:tentative="1">
      <w:start w:val="1"/>
      <w:numFmt w:val="bullet"/>
      <w:lvlText w:val=""/>
      <w:lvlJc w:val="left"/>
      <w:pPr>
        <w:ind w:left="2378" w:hanging="360"/>
      </w:pPr>
      <w:rPr>
        <w:rFonts w:ascii="Symbol" w:hAnsi="Symbol" w:hint="default"/>
      </w:rPr>
    </w:lvl>
    <w:lvl w:ilvl="4" w:tplc="2C1A0003" w:tentative="1">
      <w:start w:val="1"/>
      <w:numFmt w:val="bullet"/>
      <w:lvlText w:val="o"/>
      <w:lvlJc w:val="left"/>
      <w:pPr>
        <w:ind w:left="3098" w:hanging="360"/>
      </w:pPr>
      <w:rPr>
        <w:rFonts w:ascii="Courier New" w:hAnsi="Courier New" w:cs="Courier New" w:hint="default"/>
      </w:rPr>
    </w:lvl>
    <w:lvl w:ilvl="5" w:tplc="2C1A0005" w:tentative="1">
      <w:start w:val="1"/>
      <w:numFmt w:val="bullet"/>
      <w:lvlText w:val=""/>
      <w:lvlJc w:val="left"/>
      <w:pPr>
        <w:ind w:left="3818" w:hanging="360"/>
      </w:pPr>
      <w:rPr>
        <w:rFonts w:ascii="Wingdings" w:hAnsi="Wingdings" w:hint="default"/>
      </w:rPr>
    </w:lvl>
    <w:lvl w:ilvl="6" w:tplc="2C1A0001" w:tentative="1">
      <w:start w:val="1"/>
      <w:numFmt w:val="bullet"/>
      <w:lvlText w:val=""/>
      <w:lvlJc w:val="left"/>
      <w:pPr>
        <w:ind w:left="4538" w:hanging="360"/>
      </w:pPr>
      <w:rPr>
        <w:rFonts w:ascii="Symbol" w:hAnsi="Symbol" w:hint="default"/>
      </w:rPr>
    </w:lvl>
    <w:lvl w:ilvl="7" w:tplc="2C1A0003" w:tentative="1">
      <w:start w:val="1"/>
      <w:numFmt w:val="bullet"/>
      <w:lvlText w:val="o"/>
      <w:lvlJc w:val="left"/>
      <w:pPr>
        <w:ind w:left="5258" w:hanging="360"/>
      </w:pPr>
      <w:rPr>
        <w:rFonts w:ascii="Courier New" w:hAnsi="Courier New" w:cs="Courier New" w:hint="default"/>
      </w:rPr>
    </w:lvl>
    <w:lvl w:ilvl="8" w:tplc="2C1A0005" w:tentative="1">
      <w:start w:val="1"/>
      <w:numFmt w:val="bullet"/>
      <w:lvlText w:val=""/>
      <w:lvlJc w:val="left"/>
      <w:pPr>
        <w:ind w:left="5978" w:hanging="360"/>
      </w:pPr>
      <w:rPr>
        <w:rFonts w:ascii="Wingdings" w:hAnsi="Wingdings" w:hint="default"/>
      </w:rPr>
    </w:lvl>
  </w:abstractNum>
  <w:abstractNum w:abstractNumId="4" w15:restartNumberingAfterBreak="0">
    <w:nsid w:val="1CEE1526"/>
    <w:multiLevelType w:val="hybridMultilevel"/>
    <w:tmpl w:val="D4BA968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E22716"/>
    <w:multiLevelType w:val="hybridMultilevel"/>
    <w:tmpl w:val="66AC3026"/>
    <w:lvl w:ilvl="0" w:tplc="2C1A000B">
      <w:start w:val="1"/>
      <w:numFmt w:val="bullet"/>
      <w:lvlText w:val=""/>
      <w:lvlJc w:val="left"/>
      <w:pPr>
        <w:ind w:left="218" w:hanging="360"/>
      </w:pPr>
      <w:rPr>
        <w:rFonts w:ascii="Wingdings" w:hAnsi="Wingdings" w:hint="default"/>
      </w:rPr>
    </w:lvl>
    <w:lvl w:ilvl="1" w:tplc="2C1A0003" w:tentative="1">
      <w:start w:val="1"/>
      <w:numFmt w:val="bullet"/>
      <w:lvlText w:val="o"/>
      <w:lvlJc w:val="left"/>
      <w:pPr>
        <w:ind w:left="938" w:hanging="360"/>
      </w:pPr>
      <w:rPr>
        <w:rFonts w:ascii="Courier New" w:hAnsi="Courier New" w:cs="Courier New" w:hint="default"/>
      </w:rPr>
    </w:lvl>
    <w:lvl w:ilvl="2" w:tplc="2C1A0005" w:tentative="1">
      <w:start w:val="1"/>
      <w:numFmt w:val="bullet"/>
      <w:lvlText w:val=""/>
      <w:lvlJc w:val="left"/>
      <w:pPr>
        <w:ind w:left="1658" w:hanging="360"/>
      </w:pPr>
      <w:rPr>
        <w:rFonts w:ascii="Wingdings" w:hAnsi="Wingdings" w:hint="default"/>
      </w:rPr>
    </w:lvl>
    <w:lvl w:ilvl="3" w:tplc="2C1A0001" w:tentative="1">
      <w:start w:val="1"/>
      <w:numFmt w:val="bullet"/>
      <w:lvlText w:val=""/>
      <w:lvlJc w:val="left"/>
      <w:pPr>
        <w:ind w:left="2378" w:hanging="360"/>
      </w:pPr>
      <w:rPr>
        <w:rFonts w:ascii="Symbol" w:hAnsi="Symbol" w:hint="default"/>
      </w:rPr>
    </w:lvl>
    <w:lvl w:ilvl="4" w:tplc="2C1A0003" w:tentative="1">
      <w:start w:val="1"/>
      <w:numFmt w:val="bullet"/>
      <w:lvlText w:val="o"/>
      <w:lvlJc w:val="left"/>
      <w:pPr>
        <w:ind w:left="3098" w:hanging="360"/>
      </w:pPr>
      <w:rPr>
        <w:rFonts w:ascii="Courier New" w:hAnsi="Courier New" w:cs="Courier New" w:hint="default"/>
      </w:rPr>
    </w:lvl>
    <w:lvl w:ilvl="5" w:tplc="2C1A0005" w:tentative="1">
      <w:start w:val="1"/>
      <w:numFmt w:val="bullet"/>
      <w:lvlText w:val=""/>
      <w:lvlJc w:val="left"/>
      <w:pPr>
        <w:ind w:left="3818" w:hanging="360"/>
      </w:pPr>
      <w:rPr>
        <w:rFonts w:ascii="Wingdings" w:hAnsi="Wingdings" w:hint="default"/>
      </w:rPr>
    </w:lvl>
    <w:lvl w:ilvl="6" w:tplc="2C1A0001" w:tentative="1">
      <w:start w:val="1"/>
      <w:numFmt w:val="bullet"/>
      <w:lvlText w:val=""/>
      <w:lvlJc w:val="left"/>
      <w:pPr>
        <w:ind w:left="4538" w:hanging="360"/>
      </w:pPr>
      <w:rPr>
        <w:rFonts w:ascii="Symbol" w:hAnsi="Symbol" w:hint="default"/>
      </w:rPr>
    </w:lvl>
    <w:lvl w:ilvl="7" w:tplc="2C1A0003" w:tentative="1">
      <w:start w:val="1"/>
      <w:numFmt w:val="bullet"/>
      <w:lvlText w:val="o"/>
      <w:lvlJc w:val="left"/>
      <w:pPr>
        <w:ind w:left="5258" w:hanging="360"/>
      </w:pPr>
      <w:rPr>
        <w:rFonts w:ascii="Courier New" w:hAnsi="Courier New" w:cs="Courier New" w:hint="default"/>
      </w:rPr>
    </w:lvl>
    <w:lvl w:ilvl="8" w:tplc="2C1A0005" w:tentative="1">
      <w:start w:val="1"/>
      <w:numFmt w:val="bullet"/>
      <w:lvlText w:val=""/>
      <w:lvlJc w:val="left"/>
      <w:pPr>
        <w:ind w:left="5978" w:hanging="360"/>
      </w:pPr>
      <w:rPr>
        <w:rFonts w:ascii="Wingdings" w:hAnsi="Wingdings" w:hint="default"/>
      </w:rPr>
    </w:lvl>
  </w:abstractNum>
  <w:abstractNum w:abstractNumId="6" w15:restartNumberingAfterBreak="0">
    <w:nsid w:val="352D2A74"/>
    <w:multiLevelType w:val="hybridMultilevel"/>
    <w:tmpl w:val="BC9C25B0"/>
    <w:lvl w:ilvl="0" w:tplc="2C1A000B">
      <w:start w:val="1"/>
      <w:numFmt w:val="bullet"/>
      <w:lvlText w:val=""/>
      <w:lvlJc w:val="left"/>
      <w:pPr>
        <w:ind w:left="578" w:hanging="360"/>
      </w:pPr>
      <w:rPr>
        <w:rFonts w:ascii="Wingdings" w:hAnsi="Wingdings" w:hint="default"/>
      </w:rPr>
    </w:lvl>
    <w:lvl w:ilvl="1" w:tplc="2C1A0003" w:tentative="1">
      <w:start w:val="1"/>
      <w:numFmt w:val="bullet"/>
      <w:lvlText w:val="o"/>
      <w:lvlJc w:val="left"/>
      <w:pPr>
        <w:ind w:left="1298" w:hanging="360"/>
      </w:pPr>
      <w:rPr>
        <w:rFonts w:ascii="Courier New" w:hAnsi="Courier New" w:cs="Courier New" w:hint="default"/>
      </w:rPr>
    </w:lvl>
    <w:lvl w:ilvl="2" w:tplc="2C1A0005" w:tentative="1">
      <w:start w:val="1"/>
      <w:numFmt w:val="bullet"/>
      <w:lvlText w:val=""/>
      <w:lvlJc w:val="left"/>
      <w:pPr>
        <w:ind w:left="2018" w:hanging="360"/>
      </w:pPr>
      <w:rPr>
        <w:rFonts w:ascii="Wingdings" w:hAnsi="Wingdings" w:hint="default"/>
      </w:rPr>
    </w:lvl>
    <w:lvl w:ilvl="3" w:tplc="2C1A0001" w:tentative="1">
      <w:start w:val="1"/>
      <w:numFmt w:val="bullet"/>
      <w:lvlText w:val=""/>
      <w:lvlJc w:val="left"/>
      <w:pPr>
        <w:ind w:left="2738" w:hanging="360"/>
      </w:pPr>
      <w:rPr>
        <w:rFonts w:ascii="Symbol" w:hAnsi="Symbol" w:hint="default"/>
      </w:rPr>
    </w:lvl>
    <w:lvl w:ilvl="4" w:tplc="2C1A0003" w:tentative="1">
      <w:start w:val="1"/>
      <w:numFmt w:val="bullet"/>
      <w:lvlText w:val="o"/>
      <w:lvlJc w:val="left"/>
      <w:pPr>
        <w:ind w:left="3458" w:hanging="360"/>
      </w:pPr>
      <w:rPr>
        <w:rFonts w:ascii="Courier New" w:hAnsi="Courier New" w:cs="Courier New" w:hint="default"/>
      </w:rPr>
    </w:lvl>
    <w:lvl w:ilvl="5" w:tplc="2C1A0005" w:tentative="1">
      <w:start w:val="1"/>
      <w:numFmt w:val="bullet"/>
      <w:lvlText w:val=""/>
      <w:lvlJc w:val="left"/>
      <w:pPr>
        <w:ind w:left="4178" w:hanging="360"/>
      </w:pPr>
      <w:rPr>
        <w:rFonts w:ascii="Wingdings" w:hAnsi="Wingdings" w:hint="default"/>
      </w:rPr>
    </w:lvl>
    <w:lvl w:ilvl="6" w:tplc="2C1A0001" w:tentative="1">
      <w:start w:val="1"/>
      <w:numFmt w:val="bullet"/>
      <w:lvlText w:val=""/>
      <w:lvlJc w:val="left"/>
      <w:pPr>
        <w:ind w:left="4898" w:hanging="360"/>
      </w:pPr>
      <w:rPr>
        <w:rFonts w:ascii="Symbol" w:hAnsi="Symbol" w:hint="default"/>
      </w:rPr>
    </w:lvl>
    <w:lvl w:ilvl="7" w:tplc="2C1A0003" w:tentative="1">
      <w:start w:val="1"/>
      <w:numFmt w:val="bullet"/>
      <w:lvlText w:val="o"/>
      <w:lvlJc w:val="left"/>
      <w:pPr>
        <w:ind w:left="5618" w:hanging="360"/>
      </w:pPr>
      <w:rPr>
        <w:rFonts w:ascii="Courier New" w:hAnsi="Courier New" w:cs="Courier New" w:hint="default"/>
      </w:rPr>
    </w:lvl>
    <w:lvl w:ilvl="8" w:tplc="2C1A0005" w:tentative="1">
      <w:start w:val="1"/>
      <w:numFmt w:val="bullet"/>
      <w:lvlText w:val=""/>
      <w:lvlJc w:val="left"/>
      <w:pPr>
        <w:ind w:left="6338" w:hanging="360"/>
      </w:pPr>
      <w:rPr>
        <w:rFonts w:ascii="Wingdings" w:hAnsi="Wingdings" w:hint="default"/>
      </w:rPr>
    </w:lvl>
  </w:abstractNum>
  <w:abstractNum w:abstractNumId="7" w15:restartNumberingAfterBreak="0">
    <w:nsid w:val="4ABC4763"/>
    <w:multiLevelType w:val="hybridMultilevel"/>
    <w:tmpl w:val="D798A31A"/>
    <w:lvl w:ilvl="0" w:tplc="2C1A000B">
      <w:start w:val="1"/>
      <w:numFmt w:val="bullet"/>
      <w:lvlText w:val=""/>
      <w:lvlJc w:val="left"/>
      <w:pPr>
        <w:ind w:left="578" w:hanging="360"/>
      </w:pPr>
      <w:rPr>
        <w:rFonts w:ascii="Wingdings" w:hAnsi="Wingdings" w:hint="default"/>
      </w:rPr>
    </w:lvl>
    <w:lvl w:ilvl="1" w:tplc="2C1A0003" w:tentative="1">
      <w:start w:val="1"/>
      <w:numFmt w:val="bullet"/>
      <w:lvlText w:val="o"/>
      <w:lvlJc w:val="left"/>
      <w:pPr>
        <w:ind w:left="1298" w:hanging="360"/>
      </w:pPr>
      <w:rPr>
        <w:rFonts w:ascii="Courier New" w:hAnsi="Courier New" w:cs="Courier New" w:hint="default"/>
      </w:rPr>
    </w:lvl>
    <w:lvl w:ilvl="2" w:tplc="2C1A0005" w:tentative="1">
      <w:start w:val="1"/>
      <w:numFmt w:val="bullet"/>
      <w:lvlText w:val=""/>
      <w:lvlJc w:val="left"/>
      <w:pPr>
        <w:ind w:left="2018" w:hanging="360"/>
      </w:pPr>
      <w:rPr>
        <w:rFonts w:ascii="Wingdings" w:hAnsi="Wingdings" w:hint="default"/>
      </w:rPr>
    </w:lvl>
    <w:lvl w:ilvl="3" w:tplc="2C1A0001" w:tentative="1">
      <w:start w:val="1"/>
      <w:numFmt w:val="bullet"/>
      <w:lvlText w:val=""/>
      <w:lvlJc w:val="left"/>
      <w:pPr>
        <w:ind w:left="2738" w:hanging="360"/>
      </w:pPr>
      <w:rPr>
        <w:rFonts w:ascii="Symbol" w:hAnsi="Symbol" w:hint="default"/>
      </w:rPr>
    </w:lvl>
    <w:lvl w:ilvl="4" w:tplc="2C1A0003" w:tentative="1">
      <w:start w:val="1"/>
      <w:numFmt w:val="bullet"/>
      <w:lvlText w:val="o"/>
      <w:lvlJc w:val="left"/>
      <w:pPr>
        <w:ind w:left="3458" w:hanging="360"/>
      </w:pPr>
      <w:rPr>
        <w:rFonts w:ascii="Courier New" w:hAnsi="Courier New" w:cs="Courier New" w:hint="default"/>
      </w:rPr>
    </w:lvl>
    <w:lvl w:ilvl="5" w:tplc="2C1A0005" w:tentative="1">
      <w:start w:val="1"/>
      <w:numFmt w:val="bullet"/>
      <w:lvlText w:val=""/>
      <w:lvlJc w:val="left"/>
      <w:pPr>
        <w:ind w:left="4178" w:hanging="360"/>
      </w:pPr>
      <w:rPr>
        <w:rFonts w:ascii="Wingdings" w:hAnsi="Wingdings" w:hint="default"/>
      </w:rPr>
    </w:lvl>
    <w:lvl w:ilvl="6" w:tplc="2C1A0001" w:tentative="1">
      <w:start w:val="1"/>
      <w:numFmt w:val="bullet"/>
      <w:lvlText w:val=""/>
      <w:lvlJc w:val="left"/>
      <w:pPr>
        <w:ind w:left="4898" w:hanging="360"/>
      </w:pPr>
      <w:rPr>
        <w:rFonts w:ascii="Symbol" w:hAnsi="Symbol" w:hint="default"/>
      </w:rPr>
    </w:lvl>
    <w:lvl w:ilvl="7" w:tplc="2C1A0003" w:tentative="1">
      <w:start w:val="1"/>
      <w:numFmt w:val="bullet"/>
      <w:lvlText w:val="o"/>
      <w:lvlJc w:val="left"/>
      <w:pPr>
        <w:ind w:left="5618" w:hanging="360"/>
      </w:pPr>
      <w:rPr>
        <w:rFonts w:ascii="Courier New" w:hAnsi="Courier New" w:cs="Courier New" w:hint="default"/>
      </w:rPr>
    </w:lvl>
    <w:lvl w:ilvl="8" w:tplc="2C1A0005" w:tentative="1">
      <w:start w:val="1"/>
      <w:numFmt w:val="bullet"/>
      <w:lvlText w:val=""/>
      <w:lvlJc w:val="left"/>
      <w:pPr>
        <w:ind w:left="6338" w:hanging="360"/>
      </w:pPr>
      <w:rPr>
        <w:rFonts w:ascii="Wingdings" w:hAnsi="Wingdings" w:hint="default"/>
      </w:rPr>
    </w:lvl>
  </w:abstractNum>
  <w:abstractNum w:abstractNumId="8" w15:restartNumberingAfterBreak="0">
    <w:nsid w:val="58CB1F69"/>
    <w:multiLevelType w:val="hybridMultilevel"/>
    <w:tmpl w:val="780271A8"/>
    <w:lvl w:ilvl="0" w:tplc="2C1A000B">
      <w:start w:val="1"/>
      <w:numFmt w:val="bullet"/>
      <w:lvlText w:val=""/>
      <w:lvlJc w:val="left"/>
      <w:pPr>
        <w:ind w:left="218" w:hanging="360"/>
      </w:pPr>
      <w:rPr>
        <w:rFonts w:ascii="Wingdings" w:hAnsi="Wingdings" w:hint="default"/>
      </w:rPr>
    </w:lvl>
    <w:lvl w:ilvl="1" w:tplc="2C1A0003" w:tentative="1">
      <w:start w:val="1"/>
      <w:numFmt w:val="bullet"/>
      <w:lvlText w:val="o"/>
      <w:lvlJc w:val="left"/>
      <w:pPr>
        <w:ind w:left="938" w:hanging="360"/>
      </w:pPr>
      <w:rPr>
        <w:rFonts w:ascii="Courier New" w:hAnsi="Courier New" w:cs="Courier New" w:hint="default"/>
      </w:rPr>
    </w:lvl>
    <w:lvl w:ilvl="2" w:tplc="2C1A0005" w:tentative="1">
      <w:start w:val="1"/>
      <w:numFmt w:val="bullet"/>
      <w:lvlText w:val=""/>
      <w:lvlJc w:val="left"/>
      <w:pPr>
        <w:ind w:left="1658" w:hanging="360"/>
      </w:pPr>
      <w:rPr>
        <w:rFonts w:ascii="Wingdings" w:hAnsi="Wingdings" w:hint="default"/>
      </w:rPr>
    </w:lvl>
    <w:lvl w:ilvl="3" w:tplc="2C1A0001" w:tentative="1">
      <w:start w:val="1"/>
      <w:numFmt w:val="bullet"/>
      <w:lvlText w:val=""/>
      <w:lvlJc w:val="left"/>
      <w:pPr>
        <w:ind w:left="2378" w:hanging="360"/>
      </w:pPr>
      <w:rPr>
        <w:rFonts w:ascii="Symbol" w:hAnsi="Symbol" w:hint="default"/>
      </w:rPr>
    </w:lvl>
    <w:lvl w:ilvl="4" w:tplc="2C1A0003" w:tentative="1">
      <w:start w:val="1"/>
      <w:numFmt w:val="bullet"/>
      <w:lvlText w:val="o"/>
      <w:lvlJc w:val="left"/>
      <w:pPr>
        <w:ind w:left="3098" w:hanging="360"/>
      </w:pPr>
      <w:rPr>
        <w:rFonts w:ascii="Courier New" w:hAnsi="Courier New" w:cs="Courier New" w:hint="default"/>
      </w:rPr>
    </w:lvl>
    <w:lvl w:ilvl="5" w:tplc="2C1A0005" w:tentative="1">
      <w:start w:val="1"/>
      <w:numFmt w:val="bullet"/>
      <w:lvlText w:val=""/>
      <w:lvlJc w:val="left"/>
      <w:pPr>
        <w:ind w:left="3818" w:hanging="360"/>
      </w:pPr>
      <w:rPr>
        <w:rFonts w:ascii="Wingdings" w:hAnsi="Wingdings" w:hint="default"/>
      </w:rPr>
    </w:lvl>
    <w:lvl w:ilvl="6" w:tplc="2C1A0001" w:tentative="1">
      <w:start w:val="1"/>
      <w:numFmt w:val="bullet"/>
      <w:lvlText w:val=""/>
      <w:lvlJc w:val="left"/>
      <w:pPr>
        <w:ind w:left="4538" w:hanging="360"/>
      </w:pPr>
      <w:rPr>
        <w:rFonts w:ascii="Symbol" w:hAnsi="Symbol" w:hint="default"/>
      </w:rPr>
    </w:lvl>
    <w:lvl w:ilvl="7" w:tplc="2C1A0003" w:tentative="1">
      <w:start w:val="1"/>
      <w:numFmt w:val="bullet"/>
      <w:lvlText w:val="o"/>
      <w:lvlJc w:val="left"/>
      <w:pPr>
        <w:ind w:left="5258" w:hanging="360"/>
      </w:pPr>
      <w:rPr>
        <w:rFonts w:ascii="Courier New" w:hAnsi="Courier New" w:cs="Courier New" w:hint="default"/>
      </w:rPr>
    </w:lvl>
    <w:lvl w:ilvl="8" w:tplc="2C1A0005" w:tentative="1">
      <w:start w:val="1"/>
      <w:numFmt w:val="bullet"/>
      <w:lvlText w:val=""/>
      <w:lvlJc w:val="left"/>
      <w:pPr>
        <w:ind w:left="5978" w:hanging="360"/>
      </w:pPr>
      <w:rPr>
        <w:rFonts w:ascii="Wingdings" w:hAnsi="Wingdings" w:hint="default"/>
      </w:rPr>
    </w:lvl>
  </w:abstractNum>
  <w:abstractNum w:abstractNumId="9" w15:restartNumberingAfterBreak="0">
    <w:nsid w:val="61C22B6D"/>
    <w:multiLevelType w:val="hybridMultilevel"/>
    <w:tmpl w:val="754433F6"/>
    <w:lvl w:ilvl="0" w:tplc="2C1A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0" w15:restartNumberingAfterBreak="0">
    <w:nsid w:val="65205B91"/>
    <w:multiLevelType w:val="hybridMultilevel"/>
    <w:tmpl w:val="27F096B6"/>
    <w:lvl w:ilvl="0" w:tplc="2C1A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1" w15:restartNumberingAfterBreak="0">
    <w:nsid w:val="756F6C7F"/>
    <w:multiLevelType w:val="hybridMultilevel"/>
    <w:tmpl w:val="AA680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1"/>
  </w:num>
  <w:num w:numId="4">
    <w:abstractNumId w:val="8"/>
  </w:num>
  <w:num w:numId="5">
    <w:abstractNumId w:val="6"/>
  </w:num>
  <w:num w:numId="6">
    <w:abstractNumId w:val="3"/>
  </w:num>
  <w:num w:numId="7">
    <w:abstractNumId w:val="10"/>
  </w:num>
  <w:num w:numId="8">
    <w:abstractNumId w:val="2"/>
  </w:num>
  <w:num w:numId="9">
    <w:abstractNumId w:val="9"/>
  </w:num>
  <w:num w:numId="10">
    <w:abstractNumId w:val="5"/>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4AD"/>
    <w:rsid w:val="00003E79"/>
    <w:rsid w:val="00011475"/>
    <w:rsid w:val="0002585D"/>
    <w:rsid w:val="00045E70"/>
    <w:rsid w:val="00047655"/>
    <w:rsid w:val="00047E15"/>
    <w:rsid w:val="0006140D"/>
    <w:rsid w:val="000707EA"/>
    <w:rsid w:val="00071459"/>
    <w:rsid w:val="000802C2"/>
    <w:rsid w:val="000A3501"/>
    <w:rsid w:val="000A4F64"/>
    <w:rsid w:val="000B74A8"/>
    <w:rsid w:val="000E27EA"/>
    <w:rsid w:val="000F33C1"/>
    <w:rsid w:val="000F35C0"/>
    <w:rsid w:val="00104357"/>
    <w:rsid w:val="00110703"/>
    <w:rsid w:val="00122D08"/>
    <w:rsid w:val="001255BC"/>
    <w:rsid w:val="00127336"/>
    <w:rsid w:val="00130493"/>
    <w:rsid w:val="00130B31"/>
    <w:rsid w:val="00137000"/>
    <w:rsid w:val="00140AF4"/>
    <w:rsid w:val="00144FDF"/>
    <w:rsid w:val="001635C5"/>
    <w:rsid w:val="00172935"/>
    <w:rsid w:val="001816A1"/>
    <w:rsid w:val="00185083"/>
    <w:rsid w:val="001A0D15"/>
    <w:rsid w:val="001A38A1"/>
    <w:rsid w:val="001A3C3A"/>
    <w:rsid w:val="001B2128"/>
    <w:rsid w:val="001B2E84"/>
    <w:rsid w:val="001D191C"/>
    <w:rsid w:val="001D3161"/>
    <w:rsid w:val="001D6A84"/>
    <w:rsid w:val="001E6ABD"/>
    <w:rsid w:val="001F22D8"/>
    <w:rsid w:val="001F28A8"/>
    <w:rsid w:val="001F3C0C"/>
    <w:rsid w:val="002046BA"/>
    <w:rsid w:val="00205C8A"/>
    <w:rsid w:val="00206099"/>
    <w:rsid w:val="00213456"/>
    <w:rsid w:val="0024374F"/>
    <w:rsid w:val="00254755"/>
    <w:rsid w:val="00257D21"/>
    <w:rsid w:val="00275411"/>
    <w:rsid w:val="00286345"/>
    <w:rsid w:val="00297732"/>
    <w:rsid w:val="002A12A0"/>
    <w:rsid w:val="002B5D2C"/>
    <w:rsid w:val="002C23C4"/>
    <w:rsid w:val="002C4E73"/>
    <w:rsid w:val="002D0940"/>
    <w:rsid w:val="002E40FC"/>
    <w:rsid w:val="002E4BA7"/>
    <w:rsid w:val="002F4154"/>
    <w:rsid w:val="002F55A1"/>
    <w:rsid w:val="002F5CEC"/>
    <w:rsid w:val="002F5E91"/>
    <w:rsid w:val="00302EDB"/>
    <w:rsid w:val="00314908"/>
    <w:rsid w:val="003151AC"/>
    <w:rsid w:val="00316B38"/>
    <w:rsid w:val="00321CE9"/>
    <w:rsid w:val="003244AD"/>
    <w:rsid w:val="00326370"/>
    <w:rsid w:val="00336A3E"/>
    <w:rsid w:val="00343B23"/>
    <w:rsid w:val="00346699"/>
    <w:rsid w:val="0036066D"/>
    <w:rsid w:val="00372837"/>
    <w:rsid w:val="0037727B"/>
    <w:rsid w:val="00384592"/>
    <w:rsid w:val="003A60F2"/>
    <w:rsid w:val="003A6A8D"/>
    <w:rsid w:val="003B1D26"/>
    <w:rsid w:val="003B39BA"/>
    <w:rsid w:val="003D09D9"/>
    <w:rsid w:val="003D2B9D"/>
    <w:rsid w:val="003F3C3C"/>
    <w:rsid w:val="00440481"/>
    <w:rsid w:val="0044400A"/>
    <w:rsid w:val="00462629"/>
    <w:rsid w:val="00481DB2"/>
    <w:rsid w:val="0048298C"/>
    <w:rsid w:val="0049601A"/>
    <w:rsid w:val="004A2268"/>
    <w:rsid w:val="004A6A1E"/>
    <w:rsid w:val="004B673A"/>
    <w:rsid w:val="004E4F56"/>
    <w:rsid w:val="004F11D2"/>
    <w:rsid w:val="004F34AF"/>
    <w:rsid w:val="0050348E"/>
    <w:rsid w:val="00523368"/>
    <w:rsid w:val="00523ADA"/>
    <w:rsid w:val="00542134"/>
    <w:rsid w:val="00543C2C"/>
    <w:rsid w:val="00543FC4"/>
    <w:rsid w:val="005505AB"/>
    <w:rsid w:val="00550A9B"/>
    <w:rsid w:val="005513E5"/>
    <w:rsid w:val="005531A1"/>
    <w:rsid w:val="00564B9D"/>
    <w:rsid w:val="005660D3"/>
    <w:rsid w:val="0057182D"/>
    <w:rsid w:val="00575878"/>
    <w:rsid w:val="005A0F3F"/>
    <w:rsid w:val="005A54AB"/>
    <w:rsid w:val="005B219E"/>
    <w:rsid w:val="005B3197"/>
    <w:rsid w:val="005B6FB3"/>
    <w:rsid w:val="005C71EB"/>
    <w:rsid w:val="005E2262"/>
    <w:rsid w:val="005E631C"/>
    <w:rsid w:val="005F4255"/>
    <w:rsid w:val="005F5B43"/>
    <w:rsid w:val="00602524"/>
    <w:rsid w:val="0062490E"/>
    <w:rsid w:val="00631CBF"/>
    <w:rsid w:val="00632378"/>
    <w:rsid w:val="00636CFD"/>
    <w:rsid w:val="00650788"/>
    <w:rsid w:val="00661EF1"/>
    <w:rsid w:val="0067079D"/>
    <w:rsid w:val="006757BC"/>
    <w:rsid w:val="0067653C"/>
    <w:rsid w:val="0069695B"/>
    <w:rsid w:val="006A0BD0"/>
    <w:rsid w:val="006A1FF4"/>
    <w:rsid w:val="006A23EE"/>
    <w:rsid w:val="006A4289"/>
    <w:rsid w:val="006B20F4"/>
    <w:rsid w:val="006C52F9"/>
    <w:rsid w:val="006C618E"/>
    <w:rsid w:val="006C7037"/>
    <w:rsid w:val="006E770B"/>
    <w:rsid w:val="006F67D5"/>
    <w:rsid w:val="007051A6"/>
    <w:rsid w:val="0070720A"/>
    <w:rsid w:val="007251A3"/>
    <w:rsid w:val="0073264E"/>
    <w:rsid w:val="007375A3"/>
    <w:rsid w:val="00763BD9"/>
    <w:rsid w:val="00775FBA"/>
    <w:rsid w:val="007807F7"/>
    <w:rsid w:val="00793064"/>
    <w:rsid w:val="007A21DE"/>
    <w:rsid w:val="007C1646"/>
    <w:rsid w:val="007F29C1"/>
    <w:rsid w:val="007F7DB6"/>
    <w:rsid w:val="00805F5A"/>
    <w:rsid w:val="00806186"/>
    <w:rsid w:val="00815C71"/>
    <w:rsid w:val="00817349"/>
    <w:rsid w:val="0082410A"/>
    <w:rsid w:val="00827D8E"/>
    <w:rsid w:val="00831175"/>
    <w:rsid w:val="008323EC"/>
    <w:rsid w:val="008439FB"/>
    <w:rsid w:val="008443DD"/>
    <w:rsid w:val="0086052F"/>
    <w:rsid w:val="00862ECB"/>
    <w:rsid w:val="00866920"/>
    <w:rsid w:val="00872A68"/>
    <w:rsid w:val="00876E67"/>
    <w:rsid w:val="00897876"/>
    <w:rsid w:val="008A2731"/>
    <w:rsid w:val="008B1165"/>
    <w:rsid w:val="008B16E6"/>
    <w:rsid w:val="008B222E"/>
    <w:rsid w:val="008D27D4"/>
    <w:rsid w:val="008D3F3E"/>
    <w:rsid w:val="008D5DE0"/>
    <w:rsid w:val="008E2EB3"/>
    <w:rsid w:val="008F66D5"/>
    <w:rsid w:val="00900458"/>
    <w:rsid w:val="0090141D"/>
    <w:rsid w:val="00902844"/>
    <w:rsid w:val="00966BF3"/>
    <w:rsid w:val="00970E5F"/>
    <w:rsid w:val="0097317C"/>
    <w:rsid w:val="0097554B"/>
    <w:rsid w:val="009769D7"/>
    <w:rsid w:val="009926BF"/>
    <w:rsid w:val="00992D59"/>
    <w:rsid w:val="009A0CEC"/>
    <w:rsid w:val="009A2908"/>
    <w:rsid w:val="009A7AF3"/>
    <w:rsid w:val="009C28F0"/>
    <w:rsid w:val="009D062C"/>
    <w:rsid w:val="009D7614"/>
    <w:rsid w:val="00A005CC"/>
    <w:rsid w:val="00A04518"/>
    <w:rsid w:val="00A1109F"/>
    <w:rsid w:val="00A308BA"/>
    <w:rsid w:val="00A351C7"/>
    <w:rsid w:val="00A601ED"/>
    <w:rsid w:val="00A65473"/>
    <w:rsid w:val="00A73F01"/>
    <w:rsid w:val="00A80560"/>
    <w:rsid w:val="00A81C8C"/>
    <w:rsid w:val="00A90187"/>
    <w:rsid w:val="00A96415"/>
    <w:rsid w:val="00AA56D4"/>
    <w:rsid w:val="00AA6498"/>
    <w:rsid w:val="00AB115B"/>
    <w:rsid w:val="00AC5D9D"/>
    <w:rsid w:val="00AD3373"/>
    <w:rsid w:val="00AF0F12"/>
    <w:rsid w:val="00AF43AC"/>
    <w:rsid w:val="00AF6D20"/>
    <w:rsid w:val="00B039F6"/>
    <w:rsid w:val="00B17261"/>
    <w:rsid w:val="00B17756"/>
    <w:rsid w:val="00B2240F"/>
    <w:rsid w:val="00B24650"/>
    <w:rsid w:val="00B52959"/>
    <w:rsid w:val="00B62436"/>
    <w:rsid w:val="00B7191E"/>
    <w:rsid w:val="00B84140"/>
    <w:rsid w:val="00B915F9"/>
    <w:rsid w:val="00BC0F4F"/>
    <w:rsid w:val="00BF2C23"/>
    <w:rsid w:val="00BF5579"/>
    <w:rsid w:val="00C000D7"/>
    <w:rsid w:val="00C022F6"/>
    <w:rsid w:val="00C073FB"/>
    <w:rsid w:val="00C46089"/>
    <w:rsid w:val="00C529DE"/>
    <w:rsid w:val="00C63659"/>
    <w:rsid w:val="00C758A3"/>
    <w:rsid w:val="00C835A1"/>
    <w:rsid w:val="00C839FD"/>
    <w:rsid w:val="00C95C90"/>
    <w:rsid w:val="00CA0359"/>
    <w:rsid w:val="00CB187A"/>
    <w:rsid w:val="00CB3B29"/>
    <w:rsid w:val="00CC08BD"/>
    <w:rsid w:val="00CC0CBC"/>
    <w:rsid w:val="00CD0AEE"/>
    <w:rsid w:val="00CE004E"/>
    <w:rsid w:val="00CE2E7D"/>
    <w:rsid w:val="00CE3DDC"/>
    <w:rsid w:val="00D00553"/>
    <w:rsid w:val="00D15A78"/>
    <w:rsid w:val="00D21AA5"/>
    <w:rsid w:val="00D27F0A"/>
    <w:rsid w:val="00D346C3"/>
    <w:rsid w:val="00D51DFD"/>
    <w:rsid w:val="00D65A33"/>
    <w:rsid w:val="00D67A32"/>
    <w:rsid w:val="00D82813"/>
    <w:rsid w:val="00D8762D"/>
    <w:rsid w:val="00D90A20"/>
    <w:rsid w:val="00D96C7A"/>
    <w:rsid w:val="00DB53B8"/>
    <w:rsid w:val="00DB605B"/>
    <w:rsid w:val="00DB6469"/>
    <w:rsid w:val="00DC74D3"/>
    <w:rsid w:val="00DD26E9"/>
    <w:rsid w:val="00DF00BA"/>
    <w:rsid w:val="00DF094D"/>
    <w:rsid w:val="00DF21CA"/>
    <w:rsid w:val="00DF40C7"/>
    <w:rsid w:val="00DF485C"/>
    <w:rsid w:val="00E150DF"/>
    <w:rsid w:val="00E24F30"/>
    <w:rsid w:val="00E30F69"/>
    <w:rsid w:val="00E36568"/>
    <w:rsid w:val="00E52AE7"/>
    <w:rsid w:val="00E56B53"/>
    <w:rsid w:val="00E632FC"/>
    <w:rsid w:val="00E70B07"/>
    <w:rsid w:val="00E76B1C"/>
    <w:rsid w:val="00E84423"/>
    <w:rsid w:val="00E9221E"/>
    <w:rsid w:val="00E963F3"/>
    <w:rsid w:val="00E9744F"/>
    <w:rsid w:val="00EA179F"/>
    <w:rsid w:val="00EC4A03"/>
    <w:rsid w:val="00ED1102"/>
    <w:rsid w:val="00ED7849"/>
    <w:rsid w:val="00EE5CBB"/>
    <w:rsid w:val="00EE6AAA"/>
    <w:rsid w:val="00EF4053"/>
    <w:rsid w:val="00EF5DAE"/>
    <w:rsid w:val="00F300C9"/>
    <w:rsid w:val="00F545F9"/>
    <w:rsid w:val="00F54C35"/>
    <w:rsid w:val="00F65F75"/>
    <w:rsid w:val="00F76B5D"/>
    <w:rsid w:val="00F81B0A"/>
    <w:rsid w:val="00F81DDB"/>
    <w:rsid w:val="00F86E2B"/>
    <w:rsid w:val="00FD1186"/>
    <w:rsid w:val="00FE27F2"/>
    <w:rsid w:val="00FE3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66E9AF0-DB9A-462A-A017-D91A48CC7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4AD"/>
  </w:style>
  <w:style w:type="paragraph" w:styleId="Heading1">
    <w:name w:val="heading 1"/>
    <w:basedOn w:val="Normal"/>
    <w:next w:val="Normal"/>
    <w:link w:val="Heading1Char"/>
    <w:uiPriority w:val="9"/>
    <w:qFormat/>
    <w:rsid w:val="007251A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44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44AD"/>
  </w:style>
  <w:style w:type="paragraph" w:styleId="Footer">
    <w:name w:val="footer"/>
    <w:basedOn w:val="Normal"/>
    <w:link w:val="FooterChar"/>
    <w:uiPriority w:val="99"/>
    <w:unhideWhenUsed/>
    <w:rsid w:val="003244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44AD"/>
  </w:style>
  <w:style w:type="paragraph" w:styleId="BalloonText">
    <w:name w:val="Balloon Text"/>
    <w:basedOn w:val="Normal"/>
    <w:link w:val="BalloonTextChar"/>
    <w:uiPriority w:val="99"/>
    <w:semiHidden/>
    <w:unhideWhenUsed/>
    <w:rsid w:val="003244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4AD"/>
    <w:rPr>
      <w:rFonts w:ascii="Tahoma" w:hAnsi="Tahoma" w:cs="Tahoma"/>
      <w:sz w:val="16"/>
      <w:szCs w:val="16"/>
    </w:rPr>
  </w:style>
  <w:style w:type="paragraph" w:styleId="ListParagraph">
    <w:name w:val="List Paragraph"/>
    <w:basedOn w:val="Normal"/>
    <w:link w:val="ListParagraphChar"/>
    <w:uiPriority w:val="34"/>
    <w:qFormat/>
    <w:rsid w:val="00CC08BD"/>
    <w:pPr>
      <w:ind w:left="720"/>
      <w:contextualSpacing/>
    </w:pPr>
    <w:rPr>
      <w:rFonts w:ascii="Calibri" w:eastAsia="Calibri" w:hAnsi="Calibri" w:cs="Times New Roman"/>
    </w:rPr>
  </w:style>
  <w:style w:type="paragraph" w:styleId="BodyText">
    <w:name w:val="Body Text"/>
    <w:basedOn w:val="Normal"/>
    <w:link w:val="BodyTextChar"/>
    <w:semiHidden/>
    <w:unhideWhenUsed/>
    <w:rsid w:val="00AA6498"/>
    <w:pPr>
      <w:spacing w:after="0" w:line="240" w:lineRule="auto"/>
      <w:jc w:val="both"/>
    </w:pPr>
    <w:rPr>
      <w:rFonts w:ascii="Times New Roman" w:eastAsia="Times New Roman" w:hAnsi="Times New Roman" w:cs="Times New Roman"/>
      <w:sz w:val="24"/>
      <w:szCs w:val="20"/>
      <w:lang w:val="sr-Latn-CS"/>
    </w:rPr>
  </w:style>
  <w:style w:type="character" w:customStyle="1" w:styleId="BodyTextChar">
    <w:name w:val="Body Text Char"/>
    <w:basedOn w:val="DefaultParagraphFont"/>
    <w:link w:val="BodyText"/>
    <w:semiHidden/>
    <w:rsid w:val="00AA6498"/>
    <w:rPr>
      <w:rFonts w:ascii="Times New Roman" w:eastAsia="Times New Roman" w:hAnsi="Times New Roman" w:cs="Times New Roman"/>
      <w:sz w:val="24"/>
      <w:szCs w:val="20"/>
      <w:lang w:val="sr-Latn-CS"/>
    </w:rPr>
  </w:style>
  <w:style w:type="character" w:customStyle="1" w:styleId="A3">
    <w:name w:val="A3"/>
    <w:rsid w:val="00AA6498"/>
    <w:rPr>
      <w:rFonts w:ascii="Myriad Pro" w:hAnsi="Myriad Pro" w:cs="Myriad Pro" w:hint="default"/>
      <w:b/>
      <w:bCs/>
      <w:i/>
      <w:iCs/>
      <w:color w:val="000000"/>
      <w:sz w:val="20"/>
      <w:szCs w:val="20"/>
    </w:rPr>
  </w:style>
  <w:style w:type="paragraph" w:customStyle="1" w:styleId="N05Y">
    <w:name w:val="N05Y"/>
    <w:basedOn w:val="Normal"/>
    <w:uiPriority w:val="99"/>
    <w:rsid w:val="00E9744F"/>
    <w:pPr>
      <w:autoSpaceDE w:val="0"/>
      <w:autoSpaceDN w:val="0"/>
      <w:adjustRightInd w:val="0"/>
      <w:spacing w:before="60" w:line="240" w:lineRule="auto"/>
      <w:jc w:val="center"/>
    </w:pPr>
    <w:rPr>
      <w:rFonts w:ascii="Times New Roman" w:eastAsiaTheme="minorEastAsia" w:hAnsi="Times New Roman" w:cs="Times New Roman"/>
      <w:b/>
      <w:bCs/>
      <w:color w:val="000000"/>
      <w:sz w:val="24"/>
      <w:szCs w:val="24"/>
    </w:rPr>
  </w:style>
  <w:style w:type="character" w:customStyle="1" w:styleId="ListParagraphChar">
    <w:name w:val="List Paragraph Char"/>
    <w:link w:val="ListParagraph"/>
    <w:uiPriority w:val="34"/>
    <w:locked/>
    <w:rsid w:val="00302EDB"/>
    <w:rPr>
      <w:rFonts w:ascii="Calibri" w:eastAsia="Calibri" w:hAnsi="Calibri" w:cs="Times New Roman"/>
    </w:rPr>
  </w:style>
  <w:style w:type="table" w:styleId="TableGrid">
    <w:name w:val="Table Grid"/>
    <w:basedOn w:val="TableNormal"/>
    <w:uiPriority w:val="59"/>
    <w:rsid w:val="008D5DE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poglavlje"/>
    <w:basedOn w:val="Heading1"/>
    <w:link w:val="TitleChar"/>
    <w:qFormat/>
    <w:rsid w:val="007251A3"/>
    <w:pPr>
      <w:keepLines w:val="0"/>
      <w:spacing w:line="240" w:lineRule="auto"/>
    </w:pPr>
    <w:rPr>
      <w:rFonts w:ascii="Verdana" w:eastAsia="Times New Roman" w:hAnsi="Verdana" w:cs="Times New Roman"/>
      <w:b/>
      <w:color w:val="auto"/>
      <w:kern w:val="32"/>
      <w:sz w:val="24"/>
      <w:szCs w:val="36"/>
      <w:lang w:val="en-GB"/>
    </w:rPr>
  </w:style>
  <w:style w:type="character" w:customStyle="1" w:styleId="TitleChar">
    <w:name w:val="Title Char"/>
    <w:aliases w:val="poglavlje Char"/>
    <w:basedOn w:val="DefaultParagraphFont"/>
    <w:link w:val="Title"/>
    <w:rsid w:val="007251A3"/>
    <w:rPr>
      <w:rFonts w:ascii="Verdana" w:eastAsia="Times New Roman" w:hAnsi="Verdana" w:cs="Times New Roman"/>
      <w:b/>
      <w:kern w:val="32"/>
      <w:sz w:val="24"/>
      <w:szCs w:val="36"/>
      <w:lang w:val="en-GB"/>
    </w:rPr>
  </w:style>
  <w:style w:type="paragraph" w:styleId="NoSpacing">
    <w:name w:val="No Spacing"/>
    <w:aliases w:val="poglavlje 2"/>
    <w:uiPriority w:val="1"/>
    <w:qFormat/>
    <w:rsid w:val="007251A3"/>
    <w:pPr>
      <w:spacing w:after="0" w:line="240" w:lineRule="auto"/>
      <w:jc w:val="center"/>
    </w:pPr>
    <w:rPr>
      <w:rFonts w:ascii="Verdana" w:eastAsia="Calibri" w:hAnsi="Verdana" w:cs="Calibri"/>
      <w:b/>
      <w:sz w:val="28"/>
      <w:szCs w:val="24"/>
      <w:lang w:eastAsia="en-GB"/>
    </w:rPr>
  </w:style>
  <w:style w:type="character" w:customStyle="1" w:styleId="Heading1Char">
    <w:name w:val="Heading 1 Char"/>
    <w:basedOn w:val="DefaultParagraphFont"/>
    <w:link w:val="Heading1"/>
    <w:uiPriority w:val="9"/>
    <w:rsid w:val="007251A3"/>
    <w:rPr>
      <w:rFonts w:asciiTheme="majorHAnsi" w:eastAsiaTheme="majorEastAsia" w:hAnsiTheme="majorHAnsi" w:cstheme="majorBidi"/>
      <w:color w:val="365F91" w:themeColor="accent1" w:themeShade="BF"/>
      <w:sz w:val="32"/>
      <w:szCs w:val="32"/>
    </w:rPr>
  </w:style>
  <w:style w:type="paragraph" w:customStyle="1" w:styleId="Default">
    <w:name w:val="Default"/>
    <w:rsid w:val="001B2128"/>
    <w:pPr>
      <w:autoSpaceDE w:val="0"/>
      <w:autoSpaceDN w:val="0"/>
      <w:adjustRightInd w:val="0"/>
      <w:spacing w:after="0" w:line="240" w:lineRule="auto"/>
    </w:pPr>
    <w:rPr>
      <w:rFonts w:ascii="Times New Roman" w:hAnsi="Times New Roman" w:cs="Times New Roman"/>
      <w:color w:val="000000"/>
      <w:sz w:val="24"/>
      <w:szCs w:val="24"/>
      <w:lang w:val="sr-Latn-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63344">
      <w:bodyDiv w:val="1"/>
      <w:marLeft w:val="0"/>
      <w:marRight w:val="0"/>
      <w:marTop w:val="0"/>
      <w:marBottom w:val="0"/>
      <w:divBdr>
        <w:top w:val="none" w:sz="0" w:space="0" w:color="auto"/>
        <w:left w:val="none" w:sz="0" w:space="0" w:color="auto"/>
        <w:bottom w:val="none" w:sz="0" w:space="0" w:color="auto"/>
        <w:right w:val="none" w:sz="0" w:space="0" w:color="auto"/>
      </w:divBdr>
    </w:div>
    <w:div w:id="1249386980">
      <w:bodyDiv w:val="1"/>
      <w:marLeft w:val="0"/>
      <w:marRight w:val="0"/>
      <w:marTop w:val="0"/>
      <w:marBottom w:val="0"/>
      <w:divBdr>
        <w:top w:val="none" w:sz="0" w:space="0" w:color="auto"/>
        <w:left w:val="none" w:sz="0" w:space="0" w:color="auto"/>
        <w:bottom w:val="none" w:sz="0" w:space="0" w:color="auto"/>
        <w:right w:val="none" w:sz="0" w:space="0" w:color="auto"/>
      </w:divBdr>
    </w:div>
    <w:div w:id="1896509137">
      <w:bodyDiv w:val="1"/>
      <w:marLeft w:val="0"/>
      <w:marRight w:val="0"/>
      <w:marTop w:val="0"/>
      <w:marBottom w:val="0"/>
      <w:divBdr>
        <w:top w:val="none" w:sz="0" w:space="0" w:color="auto"/>
        <w:left w:val="none" w:sz="0" w:space="0" w:color="auto"/>
        <w:bottom w:val="none" w:sz="0" w:space="0" w:color="auto"/>
        <w:right w:val="none" w:sz="0" w:space="0" w:color="auto"/>
      </w:divBdr>
    </w:div>
    <w:div w:id="204486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A441F-2279-4AB3-B755-5B234BDD3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2252</TotalTime>
  <Pages>13</Pages>
  <Words>3097</Words>
  <Characters>17658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PGSZ10</dc:creator>
  <cp:lastModifiedBy>Korisnik</cp:lastModifiedBy>
  <cp:revision>187</cp:revision>
  <cp:lastPrinted>2023-10-25T07:47:00Z</cp:lastPrinted>
  <dcterms:created xsi:type="dcterms:W3CDTF">2017-04-19T11:57:00Z</dcterms:created>
  <dcterms:modified xsi:type="dcterms:W3CDTF">2023-10-31T17:55:00Z</dcterms:modified>
</cp:coreProperties>
</file>