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CB81" w14:textId="77777777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  <w:bookmarkStart w:id="0" w:name="_GoBack"/>
    </w:p>
    <w:p w14:paraId="49599D8A" w14:textId="0F482781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</w:p>
    <w:p w14:paraId="5E2048B1" w14:textId="17919D6C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</w:p>
    <w:p w14:paraId="4850FA05" w14:textId="65947E16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</w:p>
    <w:p w14:paraId="09E2EB1C" w14:textId="77777777" w:rsidR="00F44539" w:rsidRPr="00F82A93" w:rsidRDefault="00F44539" w:rsidP="00F44539">
      <w:pPr>
        <w:jc w:val="center"/>
        <w:rPr>
          <w:rFonts w:asciiTheme="minorHAnsi" w:hAnsiTheme="minorHAnsi" w:cstheme="minorHAnsi"/>
          <w:i/>
          <w:iCs/>
          <w:szCs w:val="28"/>
          <w:lang w:val="sr-Latn-ME"/>
        </w:rPr>
      </w:pPr>
      <w:r w:rsidRPr="00F82A93">
        <w:rPr>
          <w:rFonts w:asciiTheme="minorHAnsi" w:hAnsiTheme="minorHAnsi" w:cstheme="minorHAnsi"/>
          <w:b/>
          <w:bCs/>
          <w:szCs w:val="28"/>
          <w:lang w:val="sr-Latn-ME"/>
        </w:rPr>
        <w:t>Akreditovana obuka</w:t>
      </w:r>
      <w:r w:rsidRPr="00F82A93">
        <w:rPr>
          <w:rFonts w:asciiTheme="minorHAnsi" w:hAnsiTheme="minorHAnsi" w:cstheme="minorHAnsi"/>
          <w:szCs w:val="28"/>
          <w:lang w:val="sr-Latn-ME"/>
        </w:rPr>
        <w:br/>
      </w:r>
      <w:r w:rsidRPr="00F82A93">
        <w:rPr>
          <w:rFonts w:asciiTheme="minorHAnsi" w:hAnsiTheme="minorHAnsi" w:cstheme="minorHAnsi"/>
          <w:i/>
          <w:iCs/>
          <w:szCs w:val="28"/>
          <w:lang w:val="sr-Latn-ME"/>
        </w:rPr>
        <w:t>„Rad sa djecom sa neprihvatljivim oblicima ponašanja“</w:t>
      </w:r>
    </w:p>
    <w:p w14:paraId="61625102" w14:textId="77777777" w:rsidR="00F44539" w:rsidRPr="00F82A93" w:rsidRDefault="00F44539" w:rsidP="00F44539">
      <w:pPr>
        <w:jc w:val="center"/>
        <w:rPr>
          <w:rFonts w:asciiTheme="minorHAnsi" w:hAnsiTheme="minorHAnsi" w:cstheme="minorHAnsi"/>
          <w:szCs w:val="28"/>
          <w:lang w:val="sr-Latn-ME"/>
        </w:rPr>
      </w:pPr>
    </w:p>
    <w:p w14:paraId="13CAB0A4" w14:textId="77777777" w:rsidR="00F44539" w:rsidRPr="00F82A93" w:rsidRDefault="00F44539" w:rsidP="00F44539">
      <w:pPr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32"/>
          <w:szCs w:val="32"/>
          <w:lang w:val="sr-Latn-ME"/>
        </w:rPr>
      </w:pPr>
      <w:r w:rsidRPr="00F82A93">
        <w:rPr>
          <w:rFonts w:asciiTheme="minorHAnsi" w:hAnsiTheme="minorHAnsi" w:cstheme="minorHAnsi"/>
          <w:b/>
          <w:bCs/>
          <w:color w:val="1F4E79" w:themeColor="accent5" w:themeShade="80"/>
          <w:sz w:val="32"/>
          <w:szCs w:val="32"/>
          <w:lang w:val="sr-Latn-ME"/>
        </w:rPr>
        <w:t>AGENDA</w:t>
      </w:r>
    </w:p>
    <w:p w14:paraId="61E7412B" w14:textId="6B312ECF" w:rsidR="00F44539" w:rsidRPr="00F82A93" w:rsidRDefault="00F82A93" w:rsidP="00F44539">
      <w:pPr>
        <w:jc w:val="center"/>
        <w:rPr>
          <w:rFonts w:asciiTheme="minorHAnsi" w:hAnsiTheme="minorHAnsi" w:cstheme="minorHAnsi"/>
          <w:color w:val="auto"/>
          <w:sz w:val="24"/>
          <w:szCs w:val="24"/>
          <w:lang w:val="sr-Latn-ME"/>
        </w:rPr>
      </w:pPr>
      <w:r w:rsidRPr="00F82A93">
        <w:rPr>
          <w:rFonts w:asciiTheme="minorHAnsi" w:hAnsiTheme="minorHAnsi" w:cstheme="minorHAnsi"/>
          <w:color w:val="auto"/>
          <w:sz w:val="24"/>
          <w:szCs w:val="24"/>
          <w:lang w:val="sr-Latn-ME"/>
        </w:rPr>
        <w:t>Tivat, multimedijalna sala opštine Tivat</w:t>
      </w:r>
      <w:r w:rsidR="00F44539" w:rsidRPr="00F82A93">
        <w:rPr>
          <w:rFonts w:asciiTheme="minorHAnsi" w:hAnsiTheme="minorHAnsi" w:cstheme="minorHAnsi"/>
          <w:color w:val="auto"/>
          <w:sz w:val="24"/>
          <w:szCs w:val="24"/>
          <w:lang w:val="sr-Latn-ME"/>
        </w:rPr>
        <w:br/>
      </w:r>
    </w:p>
    <w:p w14:paraId="7FBBF44C" w14:textId="424C575D" w:rsidR="00F44539" w:rsidRPr="00F82A93" w:rsidRDefault="00F44539" w:rsidP="00F44539">
      <w:pPr>
        <w:ind w:left="0" w:firstLine="0"/>
        <w:rPr>
          <w:rFonts w:asciiTheme="minorHAnsi" w:hAnsiTheme="minorHAnsi" w:cstheme="minorHAnsi"/>
          <w:color w:val="auto"/>
          <w:sz w:val="24"/>
          <w:szCs w:val="24"/>
          <w:lang w:val="sr-Latn-ME"/>
        </w:rPr>
      </w:pPr>
      <w:r w:rsidRPr="00F82A93">
        <w:rPr>
          <w:rFonts w:asciiTheme="minorHAnsi" w:hAnsiTheme="minorHAnsi" w:cstheme="minorHAnsi"/>
          <w:b/>
          <w:bCs/>
          <w:noProof/>
          <w:color w:val="auto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A1D77" wp14:editId="1629342D">
                <wp:simplePos x="0" y="0"/>
                <wp:positionH relativeFrom="page">
                  <wp:align>center</wp:align>
                </wp:positionH>
                <wp:positionV relativeFrom="paragraph">
                  <wp:posOffset>378460</wp:posOffset>
                </wp:positionV>
                <wp:extent cx="8877300" cy="304800"/>
                <wp:effectExtent l="0" t="0" r="0" b="0"/>
                <wp:wrapNone/>
                <wp:docPr id="719822684" name="Minus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3048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976AD5" id="Minus Sign 6" o:spid="_x0000_s1026" style="position:absolute;margin-left:0;margin-top:29.8pt;width:699pt;height:24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8877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" path="m1176686,116556r6523928,l7700614,188244r-6523928,l1176686,116556xe" fillcolor="#4472c4 [3204]" strokecolor="#09101d [484]" strokeweight="1pt">
                <v:stroke joinstyle="miter"/>
                <v:path arrowok="t" o:connecttype="custom" o:connectlocs="1176686,116556;7700614,116556;7700614,188244;1176686,188244;1176686,116556" o:connectangles="0,0,0,0,0"/>
                <w10:wrap anchorx="page"/>
              </v:shape>
            </w:pict>
          </mc:Fallback>
        </mc:AlternateContent>
      </w:r>
      <w:r w:rsidRPr="00F82A93">
        <w:rPr>
          <w:rFonts w:asciiTheme="minorHAnsi" w:hAnsiTheme="minorHAnsi" w:cstheme="minorHAnsi"/>
          <w:b/>
          <w:bCs/>
          <w:color w:val="auto"/>
          <w:sz w:val="24"/>
          <w:szCs w:val="24"/>
          <w:lang w:val="sr-Latn-ME"/>
        </w:rPr>
        <w:t>Dan I</w:t>
      </w:r>
      <w:r w:rsidRPr="00F82A93">
        <w:rPr>
          <w:rFonts w:asciiTheme="minorHAnsi" w:hAnsiTheme="minorHAnsi" w:cstheme="minorHAnsi"/>
          <w:b/>
          <w:bCs/>
          <w:color w:val="auto"/>
          <w:sz w:val="24"/>
          <w:szCs w:val="24"/>
          <w:lang w:val="sr-Latn-ME"/>
        </w:rPr>
        <w:br/>
      </w:r>
      <w:r w:rsidRPr="00F82A93">
        <w:rPr>
          <w:rFonts w:asciiTheme="minorHAnsi" w:hAnsiTheme="minorHAnsi" w:cstheme="minorHAnsi"/>
          <w:color w:val="auto"/>
          <w:sz w:val="24"/>
          <w:szCs w:val="24"/>
          <w:lang w:val="sr-Latn-ME"/>
        </w:rPr>
        <w:t>Ponedeljak, 11.05.2026</w:t>
      </w:r>
      <w:r w:rsidRPr="00F82A93">
        <w:rPr>
          <w:rFonts w:asciiTheme="minorHAnsi" w:hAnsiTheme="minorHAnsi" w:cstheme="minorHAnsi"/>
          <w:color w:val="auto"/>
          <w:sz w:val="24"/>
          <w:szCs w:val="24"/>
          <w:lang w:val="sr-Latn-ME"/>
        </w:rPr>
        <w:br/>
      </w:r>
    </w:p>
    <w:p w14:paraId="6897F41A" w14:textId="77777777" w:rsidR="00F44539" w:rsidRPr="00F82A93" w:rsidRDefault="00F44539" w:rsidP="00F44539">
      <w:pPr>
        <w:pStyle w:val="NormalWeb"/>
        <w:rPr>
          <w:rFonts w:ascii="Calibri" w:hAnsi="Calibri" w:cs="Calibri"/>
          <w:lang w:val="sr-Latn-ME"/>
        </w:rPr>
      </w:pPr>
      <w:r w:rsidRPr="00F82A93">
        <w:rPr>
          <w:rFonts w:ascii="Calibri" w:hAnsi="Calibri" w:cs="Calibri"/>
          <w:b/>
          <w:bCs/>
          <w:color w:val="2E74B5" w:themeColor="accent5" w:themeShade="BF"/>
          <w:lang w:val="sr-Latn-ME"/>
        </w:rPr>
        <w:t>10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:30 – 11:00 Uvod i međusobno upoznavanje učesnika</w:t>
      </w:r>
      <w:r w:rsidRPr="00F82A93">
        <w:rPr>
          <w:rFonts w:ascii="Calibri" w:hAnsi="Calibri" w:cs="Calibri"/>
          <w:lang w:val="sr-Latn-ME"/>
        </w:rPr>
        <w:br/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11:00 – 11:40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Ponašanje djeteta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br/>
      </w:r>
      <w:r w:rsidRPr="00F82A93">
        <w:rPr>
          <w:rFonts w:ascii="Calibri" w:hAnsi="Calibri" w:cs="Calibri"/>
          <w:lang w:val="sr-Latn-ME"/>
        </w:rPr>
        <w:t xml:space="preserve">                         Osnovni pojmovi i teorije poremećaja ponašanja</w:t>
      </w:r>
    </w:p>
    <w:p w14:paraId="287C8A40" w14:textId="77777777" w:rsidR="00F44539" w:rsidRPr="00F82A93" w:rsidRDefault="00F44539" w:rsidP="00F44539">
      <w:pPr>
        <w:pStyle w:val="NormalWeb"/>
        <w:rPr>
          <w:rFonts w:ascii="Calibri" w:hAnsi="Calibri" w:cs="Calibri"/>
          <w:lang w:val="sr-Latn-ME"/>
        </w:rPr>
      </w:pP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11:40 – 12:25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Radionička vježba – rad u malim grupama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br/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12:25 – 13:00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Porodični faktori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br/>
        <w:t xml:space="preserve">                           </w:t>
      </w:r>
      <w:r w:rsidRPr="00F82A93">
        <w:rPr>
          <w:rFonts w:ascii="Calibri" w:hAnsi="Calibri" w:cs="Calibri"/>
          <w:lang w:val="sr-Latn-ME"/>
        </w:rPr>
        <w:t xml:space="preserve">Neurobiološka perspektiva, Roditeljski stilovi, komptencije, krizne situacije u porodici, uticaj kulture i životne sredine na emocionalnu regulaciju i ponašanja djeteta, </w:t>
      </w:r>
      <w:r w:rsidRPr="00F82A93">
        <w:rPr>
          <w:rFonts w:ascii="Calibri" w:hAnsi="Calibri" w:cs="Calibri"/>
          <w:lang w:val="sr-Latn-ME"/>
        </w:rPr>
        <w:br/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13:00 – 13:20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Iskustvena vježba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br/>
      </w:r>
      <w:r w:rsidRPr="00F82A93">
        <w:rPr>
          <w:rFonts w:ascii="Calibri" w:hAnsi="Calibri" w:cs="Calibri"/>
          <w:lang w:val="sr-Latn-ME"/>
        </w:rPr>
        <w:t xml:space="preserve">                           Različite perspektive u razumijevanju dječijeg ponašanja</w:t>
      </w:r>
      <w:r w:rsidRPr="00F82A93">
        <w:rPr>
          <w:rFonts w:ascii="Calibri" w:hAnsi="Calibri" w:cs="Calibri"/>
          <w:lang w:val="sr-Latn-ME"/>
        </w:rPr>
        <w:br/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13:20 – 13:40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Pauza</w:t>
      </w:r>
      <w:r w:rsidRPr="00F82A93">
        <w:rPr>
          <w:rFonts w:ascii="Calibri" w:hAnsi="Calibri" w:cs="Calibri"/>
          <w:lang w:val="sr-Latn-ME"/>
        </w:rPr>
        <w:br/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13:40 – 14:30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Vježba u malim grupama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br/>
      </w:r>
      <w:r w:rsidRPr="00F82A93">
        <w:rPr>
          <w:rFonts w:ascii="Calibri" w:hAnsi="Calibri" w:cs="Calibri"/>
          <w:lang w:val="sr-Latn-ME"/>
        </w:rPr>
        <w:t xml:space="preserve">                           Analiza konkretnog primjera</w:t>
      </w:r>
      <w:r w:rsidRPr="00F82A93">
        <w:rPr>
          <w:rFonts w:ascii="Calibri" w:hAnsi="Calibri" w:cs="Calibri"/>
          <w:lang w:val="sr-Latn-ME"/>
        </w:rPr>
        <w:br/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14:30 – 15:15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Ručak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br/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15:15 – 16:50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Produbljeni rad na slučaju i intervencijske strategije</w:t>
      </w:r>
      <w:r w:rsidRPr="00F82A93">
        <w:rPr>
          <w:rFonts w:ascii="Calibri" w:hAnsi="Calibri" w:cs="Calibri"/>
          <w:lang w:val="sr-Latn-ME"/>
        </w:rPr>
        <w:br/>
        <w:t xml:space="preserve">                          Rad sa porodicom: planiranje podrške djetetu i roditeljima</w:t>
      </w:r>
      <w:r w:rsidRPr="00F82A93">
        <w:rPr>
          <w:rFonts w:ascii="Calibri" w:hAnsi="Calibri" w:cs="Calibri"/>
          <w:lang w:val="sr-Latn-ME"/>
        </w:rPr>
        <w:br/>
        <w:t xml:space="preserve">                          Razmjena iskustava i dobrih praksi</w:t>
      </w:r>
    </w:p>
    <w:p w14:paraId="4CD075F1" w14:textId="77777777" w:rsidR="00F44539" w:rsidRPr="00F82A93" w:rsidRDefault="00F44539" w:rsidP="00F44539">
      <w:pPr>
        <w:pStyle w:val="NormalWeb"/>
        <w:rPr>
          <w:rFonts w:ascii="Calibri" w:hAnsi="Calibri" w:cs="Calibri"/>
          <w:lang w:val="sr-Latn-ME"/>
        </w:rPr>
      </w:pP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16:50 – 17:00</w:t>
      </w:r>
      <w:r w:rsidRPr="00F82A93">
        <w:rPr>
          <w:rFonts w:ascii="Calibri" w:hAnsi="Calibri" w:cs="Calibri"/>
          <w:color w:val="2E74B5" w:themeColor="accent5" w:themeShade="BF"/>
          <w:lang w:val="sr-Latn-ME"/>
        </w:rPr>
        <w:t xml:space="preserve"> </w:t>
      </w:r>
      <w:r w:rsidRPr="00F82A93">
        <w:rPr>
          <w:rStyle w:val="Strong"/>
          <w:rFonts w:ascii="Calibri" w:hAnsi="Calibri" w:cs="Calibri"/>
          <w:color w:val="2E74B5" w:themeColor="accent5" w:themeShade="BF"/>
          <w:lang w:val="sr-Latn-ME"/>
        </w:rPr>
        <w:t>Završna refleksija i zaključci</w:t>
      </w:r>
      <w:r w:rsidRPr="00F82A93">
        <w:rPr>
          <w:rFonts w:ascii="Calibri" w:hAnsi="Calibri" w:cs="Calibri"/>
          <w:lang w:val="sr-Latn-ME"/>
        </w:rPr>
        <w:br/>
        <w:t xml:space="preserve">                         Integracija naučenog, lični i profesionalni uvidi</w:t>
      </w:r>
    </w:p>
    <w:p w14:paraId="74497D55" w14:textId="77777777" w:rsidR="00F44539" w:rsidRPr="00F82A93" w:rsidRDefault="00F44539" w:rsidP="00F44539">
      <w:pPr>
        <w:spacing w:after="160" w:line="278" w:lineRule="auto"/>
        <w:ind w:left="0" w:firstLine="0"/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  <w:lang w:val="sr-Latn-ME"/>
        </w:rPr>
      </w:pPr>
    </w:p>
    <w:p w14:paraId="0CB5FDE4" w14:textId="3CD9DCE2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</w:p>
    <w:p w14:paraId="0CFBA7C4" w14:textId="2D5FBFA1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</w:p>
    <w:p w14:paraId="4D474A85" w14:textId="4302B1A6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</w:p>
    <w:p w14:paraId="412EBC4E" w14:textId="77777777" w:rsidR="00F44539" w:rsidRPr="00F82A93" w:rsidRDefault="00F44539" w:rsidP="00F44539">
      <w:pPr>
        <w:ind w:left="0" w:firstLine="0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</w:p>
    <w:p w14:paraId="5DF10E86" w14:textId="40C995E7" w:rsidR="00F44539" w:rsidRPr="00F82A93" w:rsidRDefault="00F44539" w:rsidP="00F44539">
      <w:pPr>
        <w:ind w:left="0" w:firstLine="0"/>
        <w:rPr>
          <w:rFonts w:asciiTheme="minorHAnsi" w:hAnsiTheme="minorHAnsi" w:cstheme="minorHAnsi"/>
          <w:b/>
          <w:bCs/>
          <w:color w:val="auto"/>
          <w:szCs w:val="28"/>
          <w:lang w:val="sr-Latn-ME"/>
        </w:rPr>
      </w:pPr>
      <w:r w:rsidRPr="00F82A93">
        <w:rPr>
          <w:rFonts w:asciiTheme="minorHAnsi" w:hAnsiTheme="minorHAnsi" w:cstheme="minorHAnsi"/>
          <w:b/>
          <w:bCs/>
          <w:color w:val="auto"/>
          <w:szCs w:val="28"/>
          <w:lang w:val="sr-Latn-ME"/>
        </w:rPr>
        <w:lastRenderedPageBreak/>
        <w:t xml:space="preserve">                                                        Akreditovana obuka</w:t>
      </w:r>
    </w:p>
    <w:p w14:paraId="03C7147C" w14:textId="77777777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i/>
          <w:iCs/>
          <w:color w:val="auto"/>
          <w:szCs w:val="28"/>
          <w:lang w:val="sr-Latn-ME"/>
        </w:rPr>
      </w:pPr>
      <w:r w:rsidRPr="00F82A93">
        <w:rPr>
          <w:rFonts w:asciiTheme="minorHAnsi" w:hAnsiTheme="minorHAnsi" w:cstheme="minorHAnsi"/>
          <w:i/>
          <w:iCs/>
          <w:color w:val="auto"/>
          <w:szCs w:val="28"/>
          <w:lang w:val="sr-Latn-ME"/>
        </w:rPr>
        <w:t>„Rad sa djecom sa neprihvatljivim oblicima ponašanja“</w:t>
      </w:r>
    </w:p>
    <w:p w14:paraId="07697872" w14:textId="77777777" w:rsidR="00F44539" w:rsidRPr="00F82A93" w:rsidRDefault="00F44539" w:rsidP="00F44539">
      <w:pPr>
        <w:ind w:left="0" w:firstLine="0"/>
        <w:rPr>
          <w:rFonts w:asciiTheme="minorHAnsi" w:hAnsiTheme="minorHAnsi" w:cstheme="minorHAnsi"/>
          <w:color w:val="auto"/>
          <w:sz w:val="24"/>
          <w:szCs w:val="24"/>
          <w:lang w:val="sr-Latn-ME"/>
        </w:rPr>
      </w:pPr>
    </w:p>
    <w:p w14:paraId="743E6502" w14:textId="0DFD96BF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  <w:lang w:val="sr-Latn-ME"/>
        </w:rPr>
      </w:pPr>
      <w:r w:rsidRPr="00F82A93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  <w:lang w:val="sr-Latn-ME"/>
        </w:rPr>
        <w:t>AGENDA</w:t>
      </w:r>
    </w:p>
    <w:p w14:paraId="548CC82B" w14:textId="37E80EF6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  <w:lang w:val="sr-Latn-ME"/>
        </w:rPr>
      </w:pPr>
    </w:p>
    <w:p w14:paraId="5C92B813" w14:textId="77777777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  <w:lang w:val="sr-Latn-ME"/>
        </w:rPr>
      </w:pPr>
    </w:p>
    <w:p w14:paraId="18B5F564" w14:textId="77777777" w:rsidR="00F44539" w:rsidRPr="00F82A93" w:rsidRDefault="00F44539" w:rsidP="00F44539">
      <w:pPr>
        <w:ind w:left="0" w:firstLine="0"/>
        <w:jc w:val="center"/>
        <w:rPr>
          <w:rFonts w:asciiTheme="minorHAnsi" w:hAnsiTheme="minorHAnsi" w:cstheme="minorHAnsi"/>
          <w:color w:val="auto"/>
          <w:sz w:val="24"/>
          <w:szCs w:val="24"/>
          <w:lang w:val="sr-Latn-ME"/>
        </w:rPr>
      </w:pPr>
    </w:p>
    <w:p w14:paraId="1793B3F4" w14:textId="77777777" w:rsidR="00F44539" w:rsidRPr="00F82A93" w:rsidRDefault="00F44539" w:rsidP="00F44539">
      <w:pPr>
        <w:ind w:left="0" w:firstLine="0"/>
        <w:rPr>
          <w:rFonts w:asciiTheme="minorHAnsi" w:hAnsiTheme="minorHAnsi" w:cstheme="minorHAnsi"/>
          <w:color w:val="auto"/>
          <w:sz w:val="24"/>
          <w:szCs w:val="24"/>
          <w:lang w:val="sr-Latn-ME"/>
        </w:rPr>
      </w:pPr>
    </w:p>
    <w:bookmarkStart w:id="1" w:name="_Hlk221108537"/>
    <w:p w14:paraId="186B5B14" w14:textId="388A3AE0" w:rsidR="00F44539" w:rsidRPr="00F82A93" w:rsidRDefault="00F44539" w:rsidP="00F44539">
      <w:pPr>
        <w:spacing w:after="160" w:line="278" w:lineRule="auto"/>
        <w:rPr>
          <w:sz w:val="24"/>
          <w:szCs w:val="24"/>
          <w:lang w:val="sr-Latn-ME"/>
        </w:rPr>
      </w:pPr>
      <w:r w:rsidRPr="00F82A93">
        <w:rPr>
          <w:rFonts w:asciiTheme="minorHAnsi" w:hAnsiTheme="minorHAnsi" w:cstheme="minorHAnsi"/>
          <w:b/>
          <w:bCs/>
          <w:noProof/>
          <w:color w:val="auto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1FD86" wp14:editId="2237F006">
                <wp:simplePos x="0" y="0"/>
                <wp:positionH relativeFrom="page">
                  <wp:posOffset>-548640</wp:posOffset>
                </wp:positionH>
                <wp:positionV relativeFrom="paragraph">
                  <wp:posOffset>341630</wp:posOffset>
                </wp:positionV>
                <wp:extent cx="8877300" cy="304800"/>
                <wp:effectExtent l="0" t="0" r="0" b="0"/>
                <wp:wrapNone/>
                <wp:docPr id="963058719" name="Minus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3048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373795" id="Minus Sign 6" o:spid="_x0000_s1026" style="position:absolute;margin-left:-43.2pt;margin-top:26.9pt;width:69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877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" path="m1176686,116556r6523928,l7700614,188244r-6523928,l1176686,116556xe" fillcolor="#4472c4 [3204]" strokecolor="#09101d [484]" strokeweight="1pt">
                <v:stroke joinstyle="miter"/>
                <v:path arrowok="t" o:connecttype="custom" o:connectlocs="1176686,116556;7700614,116556;7700614,188244;1176686,188244;1176686,116556" o:connectangles="0,0,0,0,0"/>
                <w10:wrap anchorx="page"/>
              </v:shape>
            </w:pict>
          </mc:Fallback>
        </mc:AlternateContent>
      </w:r>
      <w:r w:rsidRPr="00F82A93">
        <w:rPr>
          <w:b/>
          <w:bCs/>
          <w:sz w:val="24"/>
          <w:szCs w:val="24"/>
          <w:lang w:val="sr-Latn-ME"/>
        </w:rPr>
        <w:t>Dan ll</w:t>
      </w:r>
      <w:r w:rsidRPr="00F82A93">
        <w:rPr>
          <w:b/>
          <w:bCs/>
          <w:sz w:val="24"/>
          <w:szCs w:val="24"/>
          <w:lang w:val="sr-Latn-ME"/>
        </w:rPr>
        <w:br/>
      </w:r>
      <w:r w:rsidRPr="00F82A93">
        <w:rPr>
          <w:sz w:val="24"/>
          <w:szCs w:val="24"/>
          <w:lang w:val="sr-Latn-ME"/>
        </w:rPr>
        <w:t>Utorak, 12.05.2026.</w:t>
      </w:r>
    </w:p>
    <w:p w14:paraId="6991D406" w14:textId="77777777" w:rsidR="00F44539" w:rsidRPr="00F82A93" w:rsidRDefault="00F44539" w:rsidP="00F44539">
      <w:pPr>
        <w:spacing w:after="160" w:line="278" w:lineRule="auto"/>
        <w:rPr>
          <w:lang w:val="sr-Latn-ME"/>
        </w:rPr>
      </w:pPr>
    </w:p>
    <w:p w14:paraId="1A7FC824" w14:textId="77777777" w:rsidR="00F44539" w:rsidRPr="00F82A93" w:rsidRDefault="00F44539" w:rsidP="00F44539">
      <w:pPr>
        <w:spacing w:after="160" w:line="278" w:lineRule="auto"/>
        <w:rPr>
          <w:sz w:val="24"/>
          <w:szCs w:val="24"/>
          <w:lang w:val="sr-Latn-ME"/>
        </w:rPr>
      </w:pP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09:00 – 10:00 Problemi u ponašanju</w:t>
      </w:r>
      <w:r w:rsidRPr="00F82A93">
        <w:rPr>
          <w:color w:val="1F4E79" w:themeColor="accent5" w:themeShade="80"/>
          <w:sz w:val="24"/>
          <w:szCs w:val="24"/>
          <w:lang w:val="sr-Latn-ME"/>
        </w:rPr>
        <w:br/>
      </w:r>
      <w:r w:rsidRPr="00F82A93">
        <w:rPr>
          <w:sz w:val="24"/>
          <w:szCs w:val="24"/>
          <w:lang w:val="sr-Latn-ME"/>
        </w:rPr>
        <w:t xml:space="preserve">                          Internalizujući problem, Ekstarnalizujući problem, Hiperkinetski sindrom,</w:t>
      </w:r>
      <w:r w:rsidRPr="00F82A93">
        <w:rPr>
          <w:sz w:val="24"/>
          <w:szCs w:val="24"/>
          <w:lang w:val="sr-Latn-ME"/>
        </w:rPr>
        <w:br/>
        <w:t xml:space="preserve">                          Poremećaji u ponašanju</w:t>
      </w:r>
    </w:p>
    <w:p w14:paraId="332DDE60" w14:textId="77777777" w:rsidR="00F44539" w:rsidRPr="00F82A93" w:rsidRDefault="00F44539" w:rsidP="00F44539">
      <w:pPr>
        <w:spacing w:after="160" w:line="278" w:lineRule="auto"/>
        <w:rPr>
          <w:sz w:val="24"/>
          <w:szCs w:val="24"/>
          <w:lang w:val="sr-Latn-ME"/>
        </w:rPr>
      </w:pP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10:00 -11:00  Metode rada sa porodicama</w:t>
      </w:r>
      <w:r w:rsidRPr="00F82A93">
        <w:rPr>
          <w:sz w:val="24"/>
          <w:szCs w:val="24"/>
          <w:lang w:val="sr-Latn-ME"/>
        </w:rPr>
        <w:br/>
        <w:t xml:space="preserve">                         Pristupi, uloga profesionalca</w:t>
      </w:r>
    </w:p>
    <w:p w14:paraId="01B8E5CA" w14:textId="77777777" w:rsidR="00F44539" w:rsidRPr="00F82A93" w:rsidRDefault="00F44539" w:rsidP="00F44539">
      <w:pPr>
        <w:spacing w:after="160" w:line="278" w:lineRule="auto"/>
        <w:rPr>
          <w:sz w:val="24"/>
          <w:szCs w:val="24"/>
          <w:lang w:val="sr-Latn-ME"/>
        </w:rPr>
      </w:pP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11:00 -12:00 Samorefleksivnost u profesionalnom radu</w:t>
      </w:r>
      <w:r w:rsidRPr="00F82A93">
        <w:rPr>
          <w:color w:val="1F4E79" w:themeColor="accent5" w:themeShade="80"/>
          <w:sz w:val="24"/>
          <w:szCs w:val="24"/>
          <w:lang w:val="sr-Latn-ME"/>
        </w:rPr>
        <w:br/>
      </w:r>
      <w:r w:rsidRPr="00F82A93">
        <w:rPr>
          <w:sz w:val="24"/>
          <w:szCs w:val="24"/>
          <w:lang w:val="sr-Latn-ME"/>
        </w:rPr>
        <w:t xml:space="preserve">                        Interaktivna vježba</w:t>
      </w:r>
    </w:p>
    <w:p w14:paraId="2D5432DA" w14:textId="77777777" w:rsidR="00F44539" w:rsidRPr="00F82A93" w:rsidRDefault="00F44539" w:rsidP="00F44539">
      <w:pPr>
        <w:spacing w:after="160" w:line="278" w:lineRule="auto"/>
        <w:rPr>
          <w:color w:val="1F4E79" w:themeColor="accent5" w:themeShade="80"/>
          <w:sz w:val="24"/>
          <w:szCs w:val="24"/>
          <w:lang w:val="sr-Latn-ME"/>
        </w:rPr>
      </w:pP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12:00 - 12:30</w:t>
      </w:r>
      <w:r w:rsidRPr="00F82A93">
        <w:rPr>
          <w:color w:val="1F4E79" w:themeColor="accent5" w:themeShade="80"/>
          <w:sz w:val="24"/>
          <w:szCs w:val="24"/>
          <w:lang w:val="sr-Latn-ME"/>
        </w:rPr>
        <w:t xml:space="preserve"> </w:t>
      </w: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Pauza</w:t>
      </w:r>
      <w:r w:rsidRPr="00F82A93">
        <w:rPr>
          <w:color w:val="1F4E79" w:themeColor="accent5" w:themeShade="80"/>
          <w:sz w:val="24"/>
          <w:szCs w:val="24"/>
          <w:lang w:val="sr-Latn-ME"/>
        </w:rPr>
        <w:br/>
      </w: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12:30 - 14:30</w:t>
      </w:r>
      <w:r w:rsidRPr="00F82A93">
        <w:rPr>
          <w:color w:val="1F4E79" w:themeColor="accent5" w:themeShade="80"/>
          <w:sz w:val="24"/>
          <w:szCs w:val="24"/>
          <w:lang w:val="sr-Latn-ME"/>
        </w:rPr>
        <w:t xml:space="preserve"> </w:t>
      </w: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Grupna supervizija-vježba</w:t>
      </w:r>
      <w:r w:rsidRPr="00F82A93">
        <w:rPr>
          <w:b/>
          <w:bCs/>
          <w:sz w:val="24"/>
          <w:szCs w:val="24"/>
          <w:lang w:val="sr-Latn-ME"/>
        </w:rPr>
        <w:br/>
      </w:r>
      <w:r w:rsidRPr="00F82A93">
        <w:rPr>
          <w:sz w:val="24"/>
          <w:szCs w:val="24"/>
          <w:lang w:val="sr-Latn-ME"/>
        </w:rPr>
        <w:t xml:space="preserve">                         Rad na primjerima iz prakse (podrška i razmjena iskustava)</w:t>
      </w:r>
    </w:p>
    <w:p w14:paraId="122F9F14" w14:textId="77777777" w:rsidR="00F44539" w:rsidRPr="00F82A93" w:rsidRDefault="00F44539" w:rsidP="00F44539">
      <w:pPr>
        <w:spacing w:after="160" w:line="278" w:lineRule="auto"/>
        <w:rPr>
          <w:color w:val="1F4E79" w:themeColor="accent5" w:themeShade="80"/>
          <w:sz w:val="24"/>
          <w:szCs w:val="24"/>
          <w:lang w:val="sr-Latn-ME"/>
        </w:rPr>
      </w:pP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14:30 -15:00  Evaluacija edukacije i završna diskusija</w:t>
      </w:r>
    </w:p>
    <w:p w14:paraId="47F6907E" w14:textId="77777777" w:rsidR="00F44539" w:rsidRPr="00F82A93" w:rsidRDefault="00F44539" w:rsidP="00F44539">
      <w:pPr>
        <w:spacing w:after="160" w:line="278" w:lineRule="auto"/>
        <w:rPr>
          <w:b/>
          <w:bCs/>
          <w:color w:val="1F4E79" w:themeColor="accent5" w:themeShade="80"/>
          <w:sz w:val="24"/>
          <w:szCs w:val="24"/>
          <w:lang w:val="sr-Latn-ME"/>
        </w:rPr>
      </w:pPr>
      <w:r w:rsidRPr="00F82A93">
        <w:rPr>
          <w:b/>
          <w:bCs/>
          <w:color w:val="1F4E79" w:themeColor="accent5" w:themeShade="80"/>
          <w:sz w:val="24"/>
          <w:szCs w:val="24"/>
          <w:lang w:val="sr-Latn-ME"/>
        </w:rPr>
        <w:t>15:00                Ručak</w:t>
      </w:r>
    </w:p>
    <w:bookmarkEnd w:id="1"/>
    <w:bookmarkEnd w:id="0"/>
    <w:p w14:paraId="122808BB" w14:textId="77777777" w:rsidR="00A900DE" w:rsidRPr="00F82A93" w:rsidRDefault="00A900DE">
      <w:pPr>
        <w:rPr>
          <w:lang w:val="sr-Latn-ME"/>
        </w:rPr>
      </w:pPr>
    </w:p>
    <w:sectPr w:rsidR="00A900DE" w:rsidRPr="00F82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C2"/>
    <w:rsid w:val="00A900DE"/>
    <w:rsid w:val="00E34AC2"/>
    <w:rsid w:val="00F44539"/>
    <w:rsid w:val="00F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D0B3"/>
  <w15:chartTrackingRefBased/>
  <w15:docId w15:val="{BAA78D97-5239-4A9B-A39B-5CD1ED59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539"/>
    <w:pPr>
      <w:spacing w:after="12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45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53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 10</cp:lastModifiedBy>
  <cp:revision>3</cp:revision>
  <dcterms:created xsi:type="dcterms:W3CDTF">2026-04-15T06:54:00Z</dcterms:created>
  <dcterms:modified xsi:type="dcterms:W3CDTF">2026-04-16T16:44:00Z</dcterms:modified>
</cp:coreProperties>
</file>