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70" w:rsidRDefault="00CC6C70" w:rsidP="00CC6C70">
      <w:pPr>
        <w:spacing w:before="74"/>
        <w:ind w:right="309"/>
        <w:jc w:val="right"/>
        <w:rPr>
          <w:sz w:val="16"/>
        </w:rPr>
      </w:pPr>
      <w:r>
        <w:rPr>
          <w:sz w:val="16"/>
        </w:rPr>
        <w:t>Obrazac</w:t>
      </w:r>
      <w:r>
        <w:rPr>
          <w:spacing w:val="-7"/>
          <w:sz w:val="16"/>
        </w:rPr>
        <w:t xml:space="preserve"> </w:t>
      </w:r>
      <w:r>
        <w:rPr>
          <w:sz w:val="16"/>
        </w:rPr>
        <w:t>A-</w:t>
      </w:r>
      <w:r>
        <w:rPr>
          <w:spacing w:val="-10"/>
          <w:sz w:val="16"/>
        </w:rPr>
        <w:t>2</w:t>
      </w:r>
    </w:p>
    <w:p w:rsidR="00CC6C70" w:rsidRDefault="00CC6C70" w:rsidP="00CC6C70">
      <w:pPr>
        <w:spacing w:before="1" w:after="4"/>
        <w:ind w:left="5" w:right="204"/>
        <w:jc w:val="center"/>
        <w:rPr>
          <w:b/>
          <w:sz w:val="16"/>
        </w:rPr>
      </w:pPr>
      <w:r>
        <w:rPr>
          <w:b/>
          <w:sz w:val="16"/>
        </w:rPr>
        <w:t>REZIME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PROGRAMA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OBUKE</w:t>
      </w: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Default="00CC6C70" w:rsidP="007A5AA9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obuke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51C96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A97F82">
              <w:rPr>
                <w:rFonts w:eastAsia="Calibri"/>
                <w:sz w:val="16"/>
                <w:szCs w:val="16"/>
                <w:lang w:val="sr-Latn-ME"/>
              </w:rPr>
              <w:t>MEHANIZMI PREPOZNAVANJA I ZBRINJAVANJA DJECE ZATEČENE U PROSJAČENJU ILI ŽIVOTU I RADU NA ULICI KAO OBLIKU NASILJA NAD DJECOM.</w:t>
            </w:r>
          </w:p>
        </w:tc>
      </w:tr>
    </w:tbl>
    <w:p w:rsidR="00CC6C70" w:rsidRPr="00151C96" w:rsidRDefault="00CC6C70" w:rsidP="00CC6C70">
      <w:pPr>
        <w:spacing w:before="104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color w:val="0F1A0E"/>
                <w:sz w:val="16"/>
                <w:szCs w:val="16"/>
              </w:rPr>
              <w:t>Autor,</w:t>
            </w:r>
            <w:r w:rsidRPr="00151C96">
              <w:rPr>
                <w:b/>
                <w:color w:val="0F1A0E"/>
                <w:spacing w:val="-9"/>
                <w:sz w:val="16"/>
                <w:szCs w:val="16"/>
              </w:rPr>
              <w:t xml:space="preserve"> </w:t>
            </w:r>
            <w:r w:rsidRPr="00151C96">
              <w:rPr>
                <w:b/>
                <w:color w:val="0F1A0E"/>
                <w:sz w:val="16"/>
                <w:szCs w:val="16"/>
              </w:rPr>
              <w:t>odnosno</w:t>
            </w:r>
            <w:r w:rsidRPr="00151C96">
              <w:rPr>
                <w:b/>
                <w:color w:val="0F1A0E"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color w:val="0F1A0E"/>
                <w:sz w:val="16"/>
                <w:szCs w:val="16"/>
              </w:rPr>
              <w:t>koautor</w:t>
            </w:r>
            <w:r w:rsidRPr="00151C96">
              <w:rPr>
                <w:b/>
                <w:color w:val="0F1A0E"/>
                <w:spacing w:val="-9"/>
                <w:sz w:val="16"/>
                <w:szCs w:val="16"/>
              </w:rPr>
              <w:t xml:space="preserve"> </w:t>
            </w:r>
            <w:r w:rsidRPr="00151C96">
              <w:rPr>
                <w:b/>
                <w:color w:val="0F1A0E"/>
                <w:sz w:val="16"/>
                <w:szCs w:val="16"/>
              </w:rPr>
              <w:t>programa</w:t>
            </w:r>
            <w:r w:rsidRPr="00151C96">
              <w:rPr>
                <w:b/>
                <w:color w:val="0F1A0E"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color w:val="0F1A0E"/>
                <w:spacing w:val="-4"/>
                <w:sz w:val="16"/>
                <w:szCs w:val="16"/>
              </w:rPr>
              <w:t>obuke</w:t>
            </w:r>
          </w:p>
        </w:tc>
      </w:tr>
      <w:tr w:rsidR="00CC6C70" w:rsidRPr="00151C96" w:rsidTr="007A5AA9">
        <w:trPr>
          <w:trHeight w:val="554"/>
        </w:trPr>
        <w:tc>
          <w:tcPr>
            <w:tcW w:w="9064" w:type="dxa"/>
          </w:tcPr>
          <w:p w:rsidR="00CC6C70" w:rsidRPr="001839CC" w:rsidRDefault="00CC6C70" w:rsidP="007A5AA9">
            <w:pPr>
              <w:widowControl/>
              <w:autoSpaceDE/>
              <w:autoSpaceDN/>
              <w:rPr>
                <w:rFonts w:eastAsia="Calibri"/>
                <w:b/>
                <w:sz w:val="16"/>
                <w:szCs w:val="16"/>
                <w:lang w:val="sr-Latn-ME"/>
              </w:rPr>
            </w:pPr>
            <w:r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 w:rsidRPr="00C36CC7">
              <w:rPr>
                <w:rFonts w:eastAsia="Calibri"/>
                <w:b/>
                <w:sz w:val="16"/>
                <w:szCs w:val="16"/>
                <w:u w:val="single"/>
                <w:lang w:val="sr-Latn-ME"/>
              </w:rPr>
              <w:t xml:space="preserve">mr sci Slavko Milić, </w:t>
            </w:r>
            <w:r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>NVO Centar za bezbjednosna, sociološka i kriminološka istraživanja Crne Gore „Defendologija“ - Nikšić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3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Realizator</w:t>
            </w:r>
            <w:r w:rsidRPr="00151C96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programa</w:t>
            </w:r>
            <w:r w:rsidRPr="00151C96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4"/>
                <w:sz w:val="16"/>
                <w:szCs w:val="16"/>
              </w:rPr>
              <w:t>obuke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RS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mr sci Slavko Mili</w:t>
            </w:r>
            <w:r>
              <w:rPr>
                <w:rFonts w:eastAsia="Calibri"/>
                <w:sz w:val="16"/>
                <w:szCs w:val="16"/>
                <w:lang w:val="sr-Latn-ME"/>
              </w:rPr>
              <w:t xml:space="preserve">ć, magistar prava javnog prava i pedagogije - 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>predsjednik Naučnog odbora Centra za bezbjednosna, sociološka i kriminološka istraživanja Crne Gore</w:t>
            </w: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Fana Delija, </w:t>
            </w:r>
            <w:r>
              <w:rPr>
                <w:rFonts w:eastAsia="Calibri"/>
                <w:sz w:val="16"/>
                <w:szCs w:val="16"/>
                <w:lang w:val="sr-Latn-ME"/>
              </w:rPr>
              <w:t>magistrica pedagogije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>, izvršna koordinatorka Centra za romske inicijative</w:t>
            </w:r>
          </w:p>
          <w:p w:rsidR="00CC6C70" w:rsidRPr="00151C96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Jelena Milić, VSS – </w:t>
            </w:r>
            <w:r>
              <w:rPr>
                <w:rFonts w:eastAsia="Calibri"/>
                <w:sz w:val="16"/>
                <w:szCs w:val="16"/>
                <w:lang w:val="sr-Latn-ME"/>
              </w:rPr>
              <w:t>Direktorica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 Dnevnog centra za djecu i porodicu „Defendologija“</w:t>
            </w:r>
          </w:p>
        </w:tc>
      </w:tr>
    </w:tbl>
    <w:p w:rsidR="00CC6C70" w:rsidRPr="00151C96" w:rsidRDefault="00CC6C70" w:rsidP="00CC6C70">
      <w:pPr>
        <w:spacing w:before="104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Kontakt</w:t>
            </w:r>
            <w:r w:rsidRPr="00151C9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osoba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(telefon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i</w:t>
            </w:r>
            <w:r w:rsidRPr="00151C96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e-</w:t>
            </w:r>
            <w:r w:rsidRPr="00151C96">
              <w:rPr>
                <w:b/>
                <w:spacing w:val="-2"/>
                <w:sz w:val="16"/>
                <w:szCs w:val="16"/>
              </w:rPr>
              <w:t>mail)</w:t>
            </w:r>
          </w:p>
        </w:tc>
      </w:tr>
      <w:tr w:rsidR="00CC6C70" w:rsidRPr="00151C96" w:rsidTr="007A5AA9">
        <w:trPr>
          <w:trHeight w:val="552"/>
        </w:trPr>
        <w:tc>
          <w:tcPr>
            <w:tcW w:w="9064" w:type="dxa"/>
          </w:tcPr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 sci Slavko Milić, 067/088/802 defendologijamne@gmail.com</w:t>
            </w:r>
          </w:p>
        </w:tc>
      </w:tr>
    </w:tbl>
    <w:p w:rsidR="00CC6C70" w:rsidRPr="00151C96" w:rsidRDefault="00CC6C70" w:rsidP="00CC6C70">
      <w:pPr>
        <w:spacing w:before="103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Ciljevi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i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zadaci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programa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obuke</w:t>
            </w:r>
            <w:r w:rsidRPr="00151C9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i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oblast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socijalne</w:t>
            </w:r>
            <w:r w:rsidRPr="00151C9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i</w:t>
            </w:r>
            <w:r w:rsidRPr="00151C9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djeĉje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zaštite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na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koju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se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2"/>
                <w:sz w:val="16"/>
                <w:szCs w:val="16"/>
              </w:rPr>
              <w:t>odnose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Opšti cilj programa: </w:t>
            </w: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Unapređenje znanja i vještina u cilju uspostavljanja efikasnog sistema prevencije i zaštite djece od  prosjačenja i zaustavljanja njihovog života i/ili rada na ulici. </w:t>
            </w: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Specifični ciljevi programa:</w:t>
            </w: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</w:p>
          <w:p w:rsidR="00CC6C70" w:rsidRPr="001839CC" w:rsidRDefault="00CC6C70" w:rsidP="00CC6C70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Obuka će omogućiti  prepoznavanje održivih intervencija i pomoći djeci koja su uključena u život i rad na ulici i/ili zatečena u nekim oblicima ekonomske eksploatacije; 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>Obuka će omogućiti  prepoznavanje načina saradnje i unapređenju koordinacije i komunikacije sa drugim nadležnim institucijama i organizacijama  zaduženim za realizaciju aktivnosti u vezi djece koja su uključena u život i rad na ulici i/ili zatečena u nekim oblicima radne  eksploatacije u Crnoj Gori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unapređenje saradnje prilikom asistencije institucija i organizacija u odnosu na djecu  potencijalne žrtve trgovine ljudima odnosno; djeci koja su uključena u život i rad na ulici i/ili zatečena u nekim oblicima radne eksploatacije u Crnoj Gori, a kroz rad i  analizu stvarnih slučajeva i primjera asistencije koji su se dogodili  u proteklom periodu u  Crnoj Gori; </w:t>
            </w:r>
          </w:p>
          <w:p w:rsidR="00CC6C70" w:rsidRPr="00151C96" w:rsidRDefault="00CC6C70" w:rsidP="00CC6C70">
            <w:pPr>
              <w:pStyle w:val="Table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151C96">
              <w:rPr>
                <w:rFonts w:eastAsia="Calibri"/>
                <w:sz w:val="16"/>
                <w:szCs w:val="16"/>
                <w:lang w:val="sr-Latn-ME"/>
              </w:rPr>
              <w:t>modeli dobre prakse;</w:t>
            </w:r>
          </w:p>
        </w:tc>
      </w:tr>
    </w:tbl>
    <w:p w:rsidR="00CC6C70" w:rsidRPr="00151C96" w:rsidRDefault="00CC6C70" w:rsidP="00CC6C70">
      <w:pPr>
        <w:spacing w:before="106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1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2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Sadržaj</w:t>
            </w:r>
            <w:r w:rsidRPr="00151C96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programa</w:t>
            </w:r>
            <w:r w:rsidRPr="00151C9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4"/>
                <w:sz w:val="16"/>
                <w:szCs w:val="16"/>
              </w:rPr>
              <w:t>obuke</w:t>
            </w:r>
          </w:p>
        </w:tc>
      </w:tr>
      <w:tr w:rsidR="00CC6C70" w:rsidRPr="00151C96" w:rsidTr="007A5AA9">
        <w:trPr>
          <w:trHeight w:val="553"/>
        </w:trPr>
        <w:tc>
          <w:tcPr>
            <w:tcW w:w="9064" w:type="dxa"/>
          </w:tcPr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>upoznavanje polaznika/ca programa sa teorijskim konceptima, dinamikom i rasprostranjenošću prosjačenja kod djece i mladih, njihovog života i</w:t>
            </w:r>
            <w:r>
              <w:rPr>
                <w:sz w:val="16"/>
                <w:szCs w:val="16"/>
                <w:lang w:val="sr-Latn-ME"/>
              </w:rPr>
              <w:t>/ili</w:t>
            </w:r>
            <w:r w:rsidRPr="00151C96">
              <w:rPr>
                <w:sz w:val="16"/>
                <w:szCs w:val="16"/>
                <w:lang w:val="sr-Latn-ME"/>
              </w:rPr>
              <w:t xml:space="preserve"> rada na ulici;  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>Sticanje znanja o vrstama i posljedicama prosjačenja, života i/ili rada na ulici djece i mladih, mehanizmima i strategijama preživljavanja i mehanizmima zaštite;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Upoznavanje sa ulogom i nadležnostima relevantnih službi u slučajevima prosjačenja od strane djeteta i pravnoj odgovornosti njegovih zakonskih zastupnika (roditelja ili staratelja);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Sticanje vještina za prepoznavanje i postupanje u situacijama dolaska u kontakt sa djetetom koje živi i/ili radi na ulici;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Primjena standardnih postupaka i procedura zaposlenih u ustanovama socijalne i druge zaštite u situacijama dolaska u kontakt sa djetetom koja žive i/ ili radi  na ulici;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Sticanje znanja o institucionalno-pravnom okviru u zaštiti od prosjačenja na nacionalnom i međunarodnom nivou i upoznavanje sa postojećim servisima u sistemu zaštite žrtava prosjačenja;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Postupanje nadležnih institucija u slučajevima kada zateknu dijete na ulici i kada  postupaju iz okvira svojih nadležnosti sa primjerima postupanja organa u zemaljama u Regionu (BiH, Srbija, Hrvatska...);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>Medjunarodni i nacionalni standardi u prevenciji od prosjačenja djece;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>Prevencija i Strateški okvir u suzbijanju dječjeg prosjačenja;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 xml:space="preserve">Iskustva u radu Dnevnog centra za djecu i porodicu „Defendologija“; </w:t>
            </w:r>
          </w:p>
          <w:p w:rsidR="00CC6C70" w:rsidRPr="00151C96" w:rsidRDefault="00CC6C70" w:rsidP="00CC6C70">
            <w:pPr>
              <w:pStyle w:val="TableParagraph"/>
              <w:numPr>
                <w:ilvl w:val="1"/>
                <w:numId w:val="1"/>
              </w:numPr>
              <w:rPr>
                <w:sz w:val="16"/>
                <w:szCs w:val="16"/>
                <w:lang w:val="sr-Latn-ME"/>
              </w:rPr>
            </w:pPr>
            <w:r w:rsidRPr="00151C96">
              <w:rPr>
                <w:sz w:val="16"/>
                <w:szCs w:val="16"/>
                <w:lang w:val="sr-Latn-ME"/>
              </w:rPr>
              <w:t>Praktične vježbe sa primjerima iz prakse;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5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Kompetencije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koje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će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program</w:t>
            </w:r>
            <w:r w:rsidRPr="00151C96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obuke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2"/>
                <w:sz w:val="16"/>
                <w:szCs w:val="16"/>
              </w:rPr>
              <w:t>razvijati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839CC" w:rsidRDefault="00CC6C70" w:rsidP="00CC6C7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Obukom će se unaprijediti  nivo znanja i vještina profesionalaca kao i sposobnosti da podijele svoje vještine sa drugim profesionalcima i stvore nove izvore znanja praktičarima/kama.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Obukom će se dobiti  mogućnosti za sticanje znanja o specifičnostima elemenata negativne pojave romske i egipćanske zajednice.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Obukom će se povećati stepen povjerenja između stručnih radnika/ca i djece koja žive i/ili rade na ulici ili su u riziku da to postanu.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Razvijati će se vještine za pomoć i podršku žrtvama u cilju kvalitetne intervencije u sprečavanju prosjačenja kod djece.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Ovim programom će stručni/ne radnici/ce i  stručni/ne saradnici/ce unaprijediti znanja i vještine kako da institucionalno suzbiju pojavu prosjačenja kod djece.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lastRenderedPageBreak/>
              <w:t>Program će omogućiti otvorenu komunikaciju i saradnju predstavnika/ca institucija u rešavanju ovog problema.</w:t>
            </w:r>
          </w:p>
          <w:p w:rsidR="00CC6C70" w:rsidRPr="001839CC" w:rsidRDefault="00CC6C70" w:rsidP="00CC6C70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Obukom će učesnici/ce biti upoznati sa nacionalnim i regionalnim pravnim mehanizmima za prevenciju i suzbijanje prosjačenja.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4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Ciljna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grupa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profesionalaca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kojima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je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obuka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2"/>
                <w:sz w:val="16"/>
                <w:szCs w:val="16"/>
              </w:rPr>
              <w:t>namijenjena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  <w:r w:rsidRPr="00151C96">
              <w:rPr>
                <w:rFonts w:eastAsia="Calibri"/>
                <w:sz w:val="16"/>
                <w:szCs w:val="16"/>
                <w:lang w:val="sr-Latn-ME"/>
              </w:rPr>
              <w:t>Ciljna grupa su predstavnici/ce relevantnih institucija zaposleni/ne u sistemu dječje i socijalne zaštite (stručni/ne radnici/ce, stručni/ne saradnici/ce i saradnici/ce) i drugi profesionalci u sistemu socijalne i dječje zaštite,</w:t>
            </w:r>
            <w:r w:rsidRPr="00151C96">
              <w:rPr>
                <w:rFonts w:eastAsia="Calibri"/>
                <w:color w:val="FF0000"/>
                <w:sz w:val="16"/>
                <w:szCs w:val="16"/>
                <w:lang w:val="sr-Latn-ME"/>
              </w:rPr>
              <w:t xml:space="preserve"> </w:t>
            </w:r>
            <w:r w:rsidRPr="004355C9">
              <w:rPr>
                <w:rFonts w:eastAsia="Calibri"/>
                <w:sz w:val="16"/>
                <w:szCs w:val="16"/>
                <w:lang w:val="sr-Latn-ME"/>
              </w:rPr>
              <w:t>kao i stručna lica drugih sistema od značaja.</w:t>
            </w:r>
          </w:p>
        </w:tc>
      </w:tr>
    </w:tbl>
    <w:p w:rsidR="00CC6C70" w:rsidRPr="00151C96" w:rsidRDefault="00CC6C70" w:rsidP="00CC6C70">
      <w:pPr>
        <w:spacing w:before="106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2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2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Uslovi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za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ukljuĉivanje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profesionalaca</w:t>
            </w:r>
            <w:r w:rsidRPr="00151C9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u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4"/>
                <w:sz w:val="16"/>
                <w:szCs w:val="16"/>
              </w:rPr>
              <w:t>obuku</w:t>
            </w:r>
          </w:p>
        </w:tc>
      </w:tr>
      <w:tr w:rsidR="00CC6C70" w:rsidRPr="00151C96" w:rsidTr="007A5AA9">
        <w:trPr>
          <w:trHeight w:val="553"/>
        </w:trPr>
        <w:tc>
          <w:tcPr>
            <w:tcW w:w="9064" w:type="dxa"/>
          </w:tcPr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Osnovni preduslovi za pohađanje programa obuke su: (ne moraju biti ispunjeni kumulativno):</w:t>
            </w:r>
          </w:p>
          <w:p w:rsidR="00CC6C70" w:rsidRPr="001839CC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</w:p>
          <w:p w:rsidR="00CC6C70" w:rsidRPr="001839CC" w:rsidRDefault="00CC6C70" w:rsidP="00CC6C70">
            <w:pPr>
              <w:widowControl/>
              <w:numPr>
                <w:ilvl w:val="1"/>
                <w:numId w:val="4"/>
              </w:numPr>
              <w:autoSpaceDE/>
              <w:autoSpaceDN/>
              <w:spacing w:after="160" w:line="259" w:lineRule="auto"/>
              <w:ind w:left="0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 xml:space="preserve">Da su predstavnici/ce relevantnih institucija zaposleni/ne u sistemu dječje i socijalne zaštite (stručni/ne radnici/ce, stručni/ne saradnici/ce i saradnici u sistemu dječje i socijalne zaštite), </w:t>
            </w:r>
            <w:r w:rsidRPr="004355C9">
              <w:rPr>
                <w:rFonts w:eastAsia="Calibri"/>
                <w:sz w:val="16"/>
                <w:szCs w:val="16"/>
                <w:lang w:val="sr-Latn-ME"/>
              </w:rPr>
              <w:t>ali i stručna lica drugih sistema od značaja</w:t>
            </w:r>
            <w:r w:rsidRPr="001839CC">
              <w:rPr>
                <w:rFonts w:eastAsia="Calibri"/>
                <w:color w:val="FF0000"/>
                <w:sz w:val="16"/>
                <w:szCs w:val="16"/>
                <w:lang w:val="sr-Latn-ME"/>
              </w:rPr>
              <w:t>.</w:t>
            </w:r>
          </w:p>
          <w:p w:rsidR="00CC6C70" w:rsidRPr="001839CC" w:rsidRDefault="00CC6C70" w:rsidP="00CC6C70">
            <w:pPr>
              <w:widowControl/>
              <w:numPr>
                <w:ilvl w:val="1"/>
                <w:numId w:val="4"/>
              </w:numPr>
              <w:autoSpaceDE/>
              <w:autoSpaceDN/>
              <w:spacing w:after="160" w:line="259" w:lineRule="auto"/>
              <w:ind w:left="0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Obuka može biti namjenjena i  zaposlenima u institucijama koji/e su specijalizovani/e za rad sa djecom, zdravstvenim radnicima/cama, medijima,  prosvjetnim radnicima/cama, zaposlenima u jedinicama lokalne samouprave, policiji i organizacijama civilnog društva.</w:t>
            </w:r>
          </w:p>
          <w:p w:rsidR="00CC6C70" w:rsidRPr="001839CC" w:rsidRDefault="00CC6C70" w:rsidP="00CC6C70">
            <w:pPr>
              <w:widowControl/>
              <w:numPr>
                <w:ilvl w:val="1"/>
                <w:numId w:val="4"/>
              </w:numPr>
              <w:autoSpaceDE/>
              <w:autoSpaceDN/>
              <w:spacing w:after="160" w:line="259" w:lineRule="auto"/>
              <w:ind w:left="0"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839CC">
              <w:rPr>
                <w:rFonts w:eastAsia="Calibri"/>
                <w:sz w:val="16"/>
                <w:szCs w:val="16"/>
                <w:lang w:val="sr-Latn-ME"/>
              </w:rPr>
              <w:t>Da su članovi/ce nacionalnog operativnog tima za borbu protiv nasilja u porodici i dječjih brakova, lokalnih multidisiplinarnih timova i neformalnog tima za podršku romske i egipćanske populacije formiranog pri Upravi policije-CB Podgorica kao i drugih timova koja neposredno u svom radu djeluju u odnosu na predmetnu problematiku.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4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Krajnji</w:t>
            </w:r>
            <w:r w:rsidRPr="00151C9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2"/>
                <w:sz w:val="16"/>
                <w:szCs w:val="16"/>
              </w:rPr>
              <w:t>korisnici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51C96" w:rsidRDefault="00CC6C70" w:rsidP="007A5AA9">
            <w:pPr>
              <w:widowControl/>
              <w:autoSpaceDE/>
              <w:autoSpaceDN/>
              <w:jc w:val="both"/>
              <w:rPr>
                <w:rFonts w:eastAsia="Calibri"/>
                <w:sz w:val="16"/>
                <w:szCs w:val="16"/>
                <w:lang w:val="sr-Latn-ME"/>
              </w:rPr>
            </w:pPr>
            <w:r w:rsidRPr="00151C96">
              <w:rPr>
                <w:rFonts w:eastAsia="Calibri"/>
                <w:sz w:val="16"/>
                <w:szCs w:val="16"/>
                <w:lang w:val="sr-Latn-ME"/>
              </w:rPr>
              <w:t>Sva djeca  koja su žrtve prosjačenja i dječjeg rada,  izložena životu i/ili radu na ulici kao i djeca koje su u riziku da to postanu.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4" w:after="1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Broj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uĉesnika</w:t>
            </w:r>
            <w:r w:rsidRPr="00151C9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u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grupi</w:t>
            </w:r>
            <w:r w:rsidRPr="00151C9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2"/>
                <w:sz w:val="16"/>
                <w:szCs w:val="16"/>
              </w:rPr>
              <w:t>(min/max)</w:t>
            </w:r>
          </w:p>
        </w:tc>
      </w:tr>
      <w:tr w:rsidR="00CC6C70" w:rsidRPr="00151C96" w:rsidTr="007A5AA9">
        <w:trPr>
          <w:trHeight w:val="551"/>
        </w:trPr>
        <w:tc>
          <w:tcPr>
            <w:tcW w:w="9064" w:type="dxa"/>
          </w:tcPr>
          <w:p w:rsidR="00CC6C70" w:rsidRPr="00151C96" w:rsidRDefault="00CC6C70" w:rsidP="007A5AA9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sr-Latn-ME"/>
              </w:rPr>
            </w:pPr>
            <w:r w:rsidRPr="00151C96">
              <w:rPr>
                <w:rFonts w:eastAsia="Calibri"/>
                <w:sz w:val="16"/>
                <w:szCs w:val="16"/>
                <w:lang w:val="sr-Latn-ME"/>
              </w:rPr>
              <w:t>Minimalan broj učesnika/ca je 12, a maksimalan broj učesnika/ca u jednoj grupi 24.</w:t>
            </w:r>
          </w:p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CC6C70" w:rsidRPr="00151C96" w:rsidRDefault="00CC6C70" w:rsidP="00CC6C70">
      <w:pPr>
        <w:spacing w:before="104"/>
        <w:rPr>
          <w:b/>
          <w:sz w:val="16"/>
          <w:szCs w:val="16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CC6C70" w:rsidRPr="00151C96" w:rsidTr="007A5AA9">
        <w:trPr>
          <w:trHeight w:val="184"/>
        </w:trPr>
        <w:tc>
          <w:tcPr>
            <w:tcW w:w="9064" w:type="dxa"/>
            <w:shd w:val="clear" w:color="auto" w:fill="D9D9D9"/>
          </w:tcPr>
          <w:p w:rsidR="00CC6C70" w:rsidRPr="00151C96" w:rsidRDefault="00CC6C70" w:rsidP="007A5AA9">
            <w:pPr>
              <w:pStyle w:val="TableParagraph"/>
              <w:spacing w:line="164" w:lineRule="exact"/>
              <w:rPr>
                <w:b/>
                <w:sz w:val="16"/>
                <w:szCs w:val="16"/>
              </w:rPr>
            </w:pPr>
            <w:r w:rsidRPr="00151C96">
              <w:rPr>
                <w:b/>
                <w:sz w:val="16"/>
                <w:szCs w:val="16"/>
              </w:rPr>
              <w:t>Dužina</w:t>
            </w:r>
            <w:r w:rsidRPr="00151C96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trajanja</w:t>
            </w:r>
            <w:r w:rsidRPr="00151C9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51C96">
              <w:rPr>
                <w:b/>
                <w:sz w:val="16"/>
                <w:szCs w:val="16"/>
              </w:rPr>
              <w:t>programa</w:t>
            </w:r>
            <w:r w:rsidRPr="00151C96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51C96">
              <w:rPr>
                <w:b/>
                <w:spacing w:val="-4"/>
                <w:sz w:val="16"/>
                <w:szCs w:val="16"/>
              </w:rPr>
              <w:t>obuke</w:t>
            </w:r>
          </w:p>
        </w:tc>
      </w:tr>
      <w:tr w:rsidR="00CC6C70" w:rsidRPr="00151C96" w:rsidTr="007A5AA9">
        <w:trPr>
          <w:trHeight w:val="554"/>
        </w:trPr>
        <w:tc>
          <w:tcPr>
            <w:tcW w:w="9064" w:type="dxa"/>
          </w:tcPr>
          <w:p w:rsidR="00CC6C70" w:rsidRPr="00151C96" w:rsidRDefault="00CC6C70" w:rsidP="007A5AA9">
            <w:pPr>
              <w:pStyle w:val="TableParagraph"/>
              <w:ind w:left="0"/>
              <w:rPr>
                <w:sz w:val="16"/>
                <w:szCs w:val="16"/>
              </w:rPr>
            </w:pPr>
            <w:r w:rsidRPr="00151C96">
              <w:rPr>
                <w:rFonts w:eastAsia="Calibri"/>
                <w:sz w:val="16"/>
                <w:szCs w:val="16"/>
                <w:lang w:val="sr-Latn-ME"/>
              </w:rPr>
              <w:t>Trajanje jednog programa obuke je 1 dan, ukupno 9 časova efektivnog rada sa učesnicima/cama</w:t>
            </w:r>
            <w:r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 w:rsidRPr="00151C96">
              <w:rPr>
                <w:rFonts w:eastAsia="Calibri"/>
                <w:sz w:val="16"/>
                <w:szCs w:val="16"/>
                <w:lang w:val="sr-Latn-ME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val="sr-Latn-ME"/>
              </w:rPr>
              <w:t xml:space="preserve">obuke </w:t>
            </w:r>
          </w:p>
        </w:tc>
      </w:tr>
    </w:tbl>
    <w:p w:rsidR="00CC6C70" w:rsidRDefault="00CC6C70" w:rsidP="00CC6C70">
      <w:pPr>
        <w:rPr>
          <w:sz w:val="16"/>
        </w:rPr>
        <w:sectPr w:rsidR="00CC6C70">
          <w:pgSz w:w="11910" w:h="16840"/>
          <w:pgMar w:top="1320" w:right="820" w:bottom="280" w:left="1020" w:header="720" w:footer="720" w:gutter="0"/>
          <w:cols w:space="720"/>
        </w:sectPr>
      </w:pPr>
    </w:p>
    <w:p w:rsidR="000F238D" w:rsidRDefault="000F238D">
      <w:bookmarkStart w:id="0" w:name="_GoBack"/>
      <w:bookmarkEnd w:id="0"/>
    </w:p>
    <w:sectPr w:rsidR="000F2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EDE"/>
    <w:multiLevelType w:val="hybridMultilevel"/>
    <w:tmpl w:val="DA6C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6A7"/>
    <w:multiLevelType w:val="hybridMultilevel"/>
    <w:tmpl w:val="DEB4206E"/>
    <w:lvl w:ilvl="0" w:tplc="0409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85" w:hanging="70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4E6E"/>
    <w:multiLevelType w:val="hybridMultilevel"/>
    <w:tmpl w:val="7988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067C0"/>
    <w:multiLevelType w:val="hybridMultilevel"/>
    <w:tmpl w:val="5604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62619"/>
    <w:multiLevelType w:val="hybridMultilevel"/>
    <w:tmpl w:val="010C7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70"/>
    <w:rsid w:val="000F238D"/>
    <w:rsid w:val="00C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9C651-15B5-4F5E-9343-E4BE9EF5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6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6C7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MR7</cp:lastModifiedBy>
  <cp:revision>1</cp:revision>
  <dcterms:created xsi:type="dcterms:W3CDTF">2024-02-26T13:46:00Z</dcterms:created>
  <dcterms:modified xsi:type="dcterms:W3CDTF">2024-02-26T13:46:00Z</dcterms:modified>
</cp:coreProperties>
</file>