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F5D3C3" w14:textId="77777777" w:rsidR="00E41C85" w:rsidRDefault="00E41C85" w:rsidP="00E41C85">
      <w:pPr>
        <w:numPr>
          <w:ilvl w:val="0"/>
          <w:numId w:val="2"/>
        </w:numPr>
        <w:spacing w:after="0" w:line="276" w:lineRule="auto"/>
        <w:rPr>
          <w:rFonts w:ascii="Cambria" w:hAnsi="Cambria" w:cs="Arial"/>
          <w:b/>
          <w:bCs/>
          <w:sz w:val="28"/>
          <w:szCs w:val="28"/>
          <w:shd w:val="clear" w:color="auto" w:fill="FFFFFF"/>
        </w:rPr>
      </w:pPr>
      <w:r w:rsidRPr="009501D4">
        <w:rPr>
          <w:rFonts w:ascii="Cambria" w:hAnsi="Cambria" w:cs="Arial"/>
          <w:b/>
          <w:bCs/>
          <w:sz w:val="28"/>
          <w:szCs w:val="28"/>
          <w:shd w:val="clear" w:color="auto" w:fill="FFFFFF"/>
        </w:rPr>
        <w:t xml:space="preserve">REZIME </w:t>
      </w:r>
    </w:p>
    <w:p w14:paraId="5AC9EEA7" w14:textId="77777777" w:rsidR="00E41C85" w:rsidRPr="009501D4" w:rsidRDefault="00E41C85" w:rsidP="00E41C85">
      <w:pPr>
        <w:spacing w:after="0" w:line="276" w:lineRule="auto"/>
        <w:ind w:left="360"/>
        <w:rPr>
          <w:rFonts w:ascii="Cambria" w:hAnsi="Cambria" w:cs="Arial"/>
          <w:b/>
          <w:bCs/>
          <w:sz w:val="28"/>
          <w:szCs w:val="28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079AFCEF" w14:textId="77777777" w:rsidTr="00134A6A">
        <w:trPr>
          <w:trHeight w:val="593"/>
        </w:trPr>
        <w:tc>
          <w:tcPr>
            <w:tcW w:w="8856" w:type="dxa"/>
            <w:shd w:val="clear" w:color="auto" w:fill="DBDBDB"/>
          </w:tcPr>
          <w:p w14:paraId="0FD55E9A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Naziv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</w:p>
        </w:tc>
      </w:tr>
    </w:tbl>
    <w:p w14:paraId="5FE61F22" w14:textId="53358731" w:rsidR="00E41C85" w:rsidRPr="00134A6A" w:rsidRDefault="00E41C85" w:rsidP="00E41C8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134A6A" w:rsidDel="00A279B3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Progra</w:t>
      </w:r>
      <w:bookmarkStart w:id="0" w:name="_GoBack"/>
      <w:bookmarkEnd w:id="0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m </w:t>
      </w:r>
      <w:proofErr w:type="spellStart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obuke</w:t>
      </w:r>
      <w:proofErr w:type="spellEnd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o </w:t>
      </w:r>
      <w:proofErr w:type="spellStart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seksualnom</w:t>
      </w:r>
      <w:proofErr w:type="spellEnd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nasilju</w:t>
      </w:r>
      <w:proofErr w:type="spellEnd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nad</w:t>
      </w:r>
      <w:proofErr w:type="spellEnd"/>
      <w:proofErr w:type="gramEnd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>ženama</w:t>
      </w:r>
      <w:proofErr w:type="spellEnd"/>
      <w:r w:rsidRPr="00134A6A">
        <w:rPr>
          <w:rFonts w:ascii="Arial" w:hAnsi="Arial" w:cs="Arial"/>
          <w:b/>
          <w:bCs/>
          <w:sz w:val="26"/>
          <w:szCs w:val="26"/>
          <w:shd w:val="clear" w:color="auto" w:fill="FFFFFF"/>
        </w:rPr>
        <w:t xml:space="preserve"> </w:t>
      </w:r>
    </w:p>
    <w:p w14:paraId="370352F1" w14:textId="77777777" w:rsidR="00134A6A" w:rsidRPr="00134A6A" w:rsidRDefault="00134A6A" w:rsidP="00E41C85">
      <w:pPr>
        <w:spacing w:line="276" w:lineRule="auto"/>
        <w:jc w:val="both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706918AE" w14:textId="77777777" w:rsidTr="00B219BC">
        <w:trPr>
          <w:trHeight w:val="503"/>
        </w:trPr>
        <w:tc>
          <w:tcPr>
            <w:tcW w:w="8856" w:type="dxa"/>
            <w:shd w:val="clear" w:color="auto" w:fill="DBDBDB"/>
          </w:tcPr>
          <w:p w14:paraId="1A45520A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Autor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,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odnosno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koautori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0AE4BD41" w14:textId="077D9476" w:rsidR="00E41C85" w:rsidRPr="00134A6A" w:rsidRDefault="00E41C85" w:rsidP="00E41C85">
      <w:pPr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Nataša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Međedović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Jovana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Hajduković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  </w:t>
      </w:r>
    </w:p>
    <w:p w14:paraId="77B53507" w14:textId="77777777" w:rsidR="00436173" w:rsidRPr="00134A6A" w:rsidRDefault="00436173" w:rsidP="00E41C85">
      <w:pPr>
        <w:spacing w:line="276" w:lineRule="auto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39C51782" w14:textId="77777777" w:rsidTr="00B219BC">
        <w:tc>
          <w:tcPr>
            <w:tcW w:w="8856" w:type="dxa"/>
            <w:shd w:val="clear" w:color="auto" w:fill="DBDBDB"/>
          </w:tcPr>
          <w:p w14:paraId="043D2BC7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Realizatorke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5923A221" w14:textId="7DC0364A" w:rsidR="00E41C85" w:rsidRPr="00134A6A" w:rsidRDefault="00E41C85" w:rsidP="00E41C85">
      <w:pPr>
        <w:spacing w:line="276" w:lineRule="auto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Nataša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Međedović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Jovana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>Hajduković</w:t>
      </w:r>
      <w:proofErr w:type="spellEnd"/>
      <w:r w:rsidRPr="00134A6A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</w:t>
      </w:r>
    </w:p>
    <w:p w14:paraId="51EFB2B0" w14:textId="77777777" w:rsidR="00436173" w:rsidRPr="00134A6A" w:rsidRDefault="00436173" w:rsidP="00E41C85">
      <w:pPr>
        <w:spacing w:line="276" w:lineRule="auto"/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3E5C678F" w14:textId="77777777" w:rsidTr="00B219BC">
        <w:tc>
          <w:tcPr>
            <w:tcW w:w="8856" w:type="dxa"/>
            <w:shd w:val="clear" w:color="auto" w:fill="DBDBDB"/>
          </w:tcPr>
          <w:p w14:paraId="470FA5E7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Ciljevi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50C0268E" w14:textId="77777777" w:rsidR="00E973EE" w:rsidRPr="00134A6A" w:rsidRDefault="00E973EE" w:rsidP="00E41C85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14:paraId="79FDAE37" w14:textId="57CC3954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b/>
          <w:sz w:val="24"/>
          <w:szCs w:val="24"/>
        </w:rPr>
        <w:t>Opšti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cilj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34A6A">
        <w:rPr>
          <w:rFonts w:ascii="Arial" w:hAnsi="Arial" w:cs="Arial"/>
          <w:sz w:val="24"/>
          <w:szCs w:val="24"/>
        </w:rPr>
        <w:t>razvoj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unapređenje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kompetencija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stručnjaka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stručnjakinja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uspostavljanje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efikasnog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sistema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prevencije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</w:t>
      </w:r>
    </w:p>
    <w:p w14:paraId="141168F2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134A6A">
        <w:rPr>
          <w:rFonts w:ascii="Arial" w:hAnsi="Arial" w:cs="Arial"/>
          <w:b/>
          <w:sz w:val="24"/>
          <w:szCs w:val="24"/>
        </w:rPr>
        <w:t>Specifični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ciljevi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su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: </w:t>
      </w:r>
    </w:p>
    <w:p w14:paraId="7AF3D437" w14:textId="77777777" w:rsidR="00E41C85" w:rsidRPr="00134A6A" w:rsidRDefault="00E41C85" w:rsidP="00E41C8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Povećanje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zakonskoj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regulativi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77214D0B" w14:textId="77777777" w:rsidR="00E41C85" w:rsidRPr="00134A6A" w:rsidRDefault="00E41C85" w:rsidP="00E41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Upoznavanje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specifičnostima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5395A3FE" w14:textId="77777777" w:rsidR="00E41C85" w:rsidRPr="00134A6A" w:rsidRDefault="00E41C85" w:rsidP="00E41C8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Sticanje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osnovnih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vještina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upravljanje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slučajevima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preživjele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nasilje</w:t>
      </w:r>
      <w:proofErr w:type="spellEnd"/>
    </w:p>
    <w:p w14:paraId="2EC13100" w14:textId="77777777" w:rsidR="00E41C85" w:rsidRPr="00134A6A" w:rsidRDefault="00E41C85" w:rsidP="00E41C8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Povećanje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traumi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44818BCA" w14:textId="77777777" w:rsidR="00E41C85" w:rsidRPr="00134A6A" w:rsidRDefault="00E41C85" w:rsidP="00E41C85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Povećanje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konceptu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osnaživanja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 </w:t>
      </w:r>
    </w:p>
    <w:p w14:paraId="38DCA677" w14:textId="77777777" w:rsidR="00E41C85" w:rsidRPr="00134A6A" w:rsidRDefault="00E41C85" w:rsidP="00E41C85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6"/>
          <w:szCs w:val="26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Informisanje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izazovima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radu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žrtvama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6"/>
          <w:szCs w:val="26"/>
        </w:rPr>
        <w:t xml:space="preserve">  </w:t>
      </w:r>
    </w:p>
    <w:p w14:paraId="03EAF428" w14:textId="77777777" w:rsidR="00E41C85" w:rsidRPr="00134A6A" w:rsidRDefault="00E41C85" w:rsidP="00E41C85">
      <w:pPr>
        <w:spacing w:line="276" w:lineRule="auto"/>
        <w:ind w:left="720"/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4DDE5104" w14:textId="77777777" w:rsidTr="00B219BC">
        <w:tc>
          <w:tcPr>
            <w:tcW w:w="8856" w:type="dxa"/>
            <w:shd w:val="clear" w:color="auto" w:fill="DBDBDB"/>
          </w:tcPr>
          <w:p w14:paraId="67A55C99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Sadržaj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64D6F4D2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Sadržaj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34A6A">
        <w:rPr>
          <w:rFonts w:ascii="Arial" w:hAnsi="Arial" w:cs="Arial"/>
          <w:sz w:val="24"/>
          <w:szCs w:val="24"/>
        </w:rPr>
        <w:t>fokusiran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rodnu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perspektivu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razumijevanje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traume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osnaživanje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 Program je </w:t>
      </w:r>
      <w:proofErr w:type="spellStart"/>
      <w:r w:rsidRPr="00134A6A">
        <w:rPr>
          <w:rFonts w:ascii="Arial" w:hAnsi="Arial" w:cs="Arial"/>
          <w:sz w:val="24"/>
          <w:szCs w:val="24"/>
        </w:rPr>
        <w:t>kreiran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skladu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uspješnim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međunarodnim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pristupima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zaštiti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prilagođen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nacionalnom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kontekstu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U </w:t>
      </w:r>
      <w:proofErr w:type="spellStart"/>
      <w:r w:rsidRPr="00134A6A">
        <w:rPr>
          <w:rFonts w:ascii="Arial" w:hAnsi="Arial" w:cs="Arial"/>
          <w:sz w:val="24"/>
          <w:szCs w:val="24"/>
        </w:rPr>
        <w:t>kreiranje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uključena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iskustva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organizacije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23 </w:t>
      </w:r>
      <w:proofErr w:type="spellStart"/>
      <w:r w:rsidRPr="00134A6A">
        <w:rPr>
          <w:rFonts w:ascii="Arial" w:hAnsi="Arial" w:cs="Arial"/>
          <w:sz w:val="24"/>
          <w:szCs w:val="24"/>
        </w:rPr>
        <w:t>godine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djece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lastRenderedPageBreak/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134A6A">
        <w:rPr>
          <w:rFonts w:ascii="Arial" w:hAnsi="Arial" w:cs="Arial"/>
          <w:sz w:val="24"/>
          <w:szCs w:val="24"/>
        </w:rPr>
        <w:t>Organizacija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dugi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niz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godina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sprovodi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projekte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programe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djece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134A6A">
        <w:rPr>
          <w:rFonts w:ascii="Arial" w:hAnsi="Arial" w:cs="Arial"/>
          <w:sz w:val="24"/>
          <w:szCs w:val="24"/>
        </w:rPr>
        <w:t>od</w:t>
      </w:r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zlostavljanja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</w:t>
      </w:r>
    </w:p>
    <w:p w14:paraId="257B0B7C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A6A">
        <w:rPr>
          <w:rFonts w:ascii="Arial" w:hAnsi="Arial" w:cs="Arial"/>
          <w:sz w:val="24"/>
          <w:szCs w:val="24"/>
        </w:rPr>
        <w:t xml:space="preserve">Program je </w:t>
      </w:r>
      <w:proofErr w:type="spellStart"/>
      <w:r w:rsidRPr="00134A6A">
        <w:rPr>
          <w:rFonts w:ascii="Arial" w:hAnsi="Arial" w:cs="Arial"/>
          <w:sz w:val="24"/>
          <w:szCs w:val="24"/>
        </w:rPr>
        <w:t>usaglašen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međunarodnim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nacionalnim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zakonodavstvom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odnosi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134A6A">
        <w:rPr>
          <w:rFonts w:ascii="Arial" w:hAnsi="Arial" w:cs="Arial"/>
          <w:sz w:val="24"/>
          <w:szCs w:val="24"/>
        </w:rPr>
        <w:t>zaštite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Program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34A6A">
        <w:rPr>
          <w:rFonts w:ascii="Arial" w:hAnsi="Arial" w:cs="Arial"/>
          <w:sz w:val="24"/>
          <w:szCs w:val="24"/>
        </w:rPr>
        <w:t>konkretizovan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kroz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četiri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metodske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jedinice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uzročno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posledičnim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redosledom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nadovezuju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jedna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drugu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čineći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cjelinu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doprinosi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ostvarenju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specifičnih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ciljeva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krajnjem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opšteg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cilja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</w:t>
      </w:r>
    </w:p>
    <w:p w14:paraId="7C745CCD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134A6A">
        <w:rPr>
          <w:rFonts w:ascii="Arial" w:hAnsi="Arial" w:cs="Arial"/>
          <w:sz w:val="24"/>
          <w:szCs w:val="24"/>
        </w:rPr>
        <w:t xml:space="preserve">Program je </w:t>
      </w:r>
      <w:proofErr w:type="spellStart"/>
      <w:r w:rsidRPr="00134A6A">
        <w:rPr>
          <w:rFonts w:ascii="Arial" w:hAnsi="Arial" w:cs="Arial"/>
          <w:sz w:val="24"/>
          <w:szCs w:val="24"/>
        </w:rPr>
        <w:t>usmjeren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sticanje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specifičnih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iz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oblasti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to: </w:t>
      </w:r>
      <w:proofErr w:type="spellStart"/>
      <w:r w:rsidRPr="00134A6A">
        <w:rPr>
          <w:rFonts w:ascii="Arial" w:hAnsi="Arial" w:cs="Arial"/>
          <w:sz w:val="24"/>
          <w:szCs w:val="24"/>
        </w:rPr>
        <w:t>kako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definiše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kakav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134A6A">
        <w:rPr>
          <w:rFonts w:ascii="Arial" w:hAnsi="Arial" w:cs="Arial"/>
          <w:sz w:val="24"/>
          <w:szCs w:val="24"/>
        </w:rPr>
        <w:t>međunarodni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134A6A">
        <w:rPr>
          <w:rFonts w:ascii="Arial" w:hAnsi="Arial" w:cs="Arial"/>
          <w:sz w:val="24"/>
          <w:szCs w:val="24"/>
        </w:rPr>
        <w:t>nacionalni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zakonodavni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okvir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zašto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muškarci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siluju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šta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podrazumijeva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kultura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silovanja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134A6A">
        <w:rPr>
          <w:rFonts w:ascii="Arial" w:hAnsi="Arial" w:cs="Arial"/>
          <w:sz w:val="24"/>
          <w:szCs w:val="24"/>
        </w:rPr>
        <w:t>šta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kultura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saglasnosti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način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pruža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podrška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žrtvama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silovanja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  </w:t>
      </w:r>
    </w:p>
    <w:p w14:paraId="17190CA0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34A6A">
        <w:rPr>
          <w:rFonts w:ascii="Arial" w:hAnsi="Arial" w:cs="Arial"/>
          <w:sz w:val="24"/>
          <w:szCs w:val="24"/>
          <w:u w:val="single"/>
        </w:rPr>
        <w:t xml:space="preserve">Program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pored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uvodnog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dijela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sadrži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četiri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metodske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  <w:u w:val="single"/>
        </w:rPr>
        <w:t>jedinice</w:t>
      </w:r>
      <w:proofErr w:type="spellEnd"/>
      <w:r w:rsidRPr="00134A6A">
        <w:rPr>
          <w:rFonts w:ascii="Arial" w:hAnsi="Arial" w:cs="Arial"/>
          <w:sz w:val="24"/>
          <w:szCs w:val="24"/>
          <w:u w:val="single"/>
        </w:rPr>
        <w:t xml:space="preserve">: </w:t>
      </w:r>
    </w:p>
    <w:p w14:paraId="37061C2F" w14:textId="77777777" w:rsidR="00E41C85" w:rsidRPr="00134A6A" w:rsidRDefault="00E41C85" w:rsidP="00E41C85">
      <w:pPr>
        <w:spacing w:line="276" w:lineRule="auto"/>
        <w:rPr>
          <w:rFonts w:ascii="Arial" w:hAnsi="Arial" w:cs="Arial"/>
          <w:i/>
          <w:sz w:val="24"/>
          <w:szCs w:val="24"/>
        </w:rPr>
      </w:pPr>
      <w:proofErr w:type="spellStart"/>
      <w:r w:rsidRPr="00134A6A">
        <w:rPr>
          <w:rFonts w:ascii="Arial" w:hAnsi="Arial" w:cs="Arial"/>
          <w:i/>
          <w:sz w:val="24"/>
          <w:szCs w:val="24"/>
        </w:rPr>
        <w:t>Metodska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jedinica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1 –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Definicije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zakonodavni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okvir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iz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oblasti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  </w:t>
      </w:r>
    </w:p>
    <w:p w14:paraId="00740A8C" w14:textId="77777777" w:rsidR="00E41C85" w:rsidRPr="00134A6A" w:rsidRDefault="00E41C85" w:rsidP="00E41C85">
      <w:pPr>
        <w:tabs>
          <w:tab w:val="left" w:pos="3471"/>
        </w:tabs>
        <w:spacing w:line="276" w:lineRule="auto"/>
        <w:rPr>
          <w:rFonts w:ascii="Arial" w:hAnsi="Arial" w:cs="Arial"/>
          <w:b/>
          <w:i/>
          <w:sz w:val="24"/>
          <w:szCs w:val="24"/>
        </w:rPr>
      </w:pPr>
      <w:proofErr w:type="spellStart"/>
      <w:r w:rsidRPr="00134A6A">
        <w:rPr>
          <w:rFonts w:ascii="Arial" w:hAnsi="Arial" w:cs="Arial"/>
          <w:i/>
          <w:sz w:val="24"/>
          <w:szCs w:val="24"/>
        </w:rPr>
        <w:t>Metodska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jedinica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2 –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Zašto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muškarci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siluju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 </w:t>
      </w:r>
    </w:p>
    <w:p w14:paraId="7EC55DAB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34A6A">
        <w:rPr>
          <w:rFonts w:ascii="Arial" w:hAnsi="Arial" w:cs="Arial"/>
          <w:i/>
          <w:sz w:val="24"/>
          <w:szCs w:val="24"/>
        </w:rPr>
        <w:t>Metodska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jedinica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3 –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Kultura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silovanja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&amp;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Kultura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saglasnosti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</w:p>
    <w:p w14:paraId="74A76DE4" w14:textId="73A6E2E0" w:rsidR="00E41C85" w:rsidRPr="00134A6A" w:rsidRDefault="00E41C85" w:rsidP="00E41C85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proofErr w:type="spellStart"/>
      <w:r w:rsidRPr="00134A6A">
        <w:rPr>
          <w:rFonts w:ascii="Arial" w:hAnsi="Arial" w:cs="Arial"/>
          <w:i/>
          <w:sz w:val="24"/>
          <w:szCs w:val="24"/>
        </w:rPr>
        <w:t>Metodska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jedinica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4 –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Podrška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žene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žrtve</w:t>
      </w:r>
      <w:proofErr w:type="spellEnd"/>
      <w:r w:rsidRPr="00134A6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i/>
          <w:sz w:val="24"/>
          <w:szCs w:val="24"/>
        </w:rPr>
        <w:t>silovanja</w:t>
      </w:r>
      <w:proofErr w:type="spellEnd"/>
    </w:p>
    <w:p w14:paraId="645A9C84" w14:textId="77777777" w:rsidR="00436173" w:rsidRPr="00134A6A" w:rsidRDefault="00436173" w:rsidP="00E41C85">
      <w:pPr>
        <w:spacing w:line="276" w:lineRule="auto"/>
        <w:jc w:val="both"/>
        <w:rPr>
          <w:rFonts w:ascii="Arial" w:hAnsi="Arial" w:cs="Arial"/>
          <w:i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02776D89" w14:textId="77777777" w:rsidTr="00B219BC">
        <w:tc>
          <w:tcPr>
            <w:tcW w:w="8856" w:type="dxa"/>
            <w:shd w:val="clear" w:color="auto" w:fill="DBDBDB"/>
          </w:tcPr>
          <w:p w14:paraId="562FCA79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Kompetencije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koje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će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program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razviti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2C6D0892" w14:textId="77777777" w:rsidR="00E973EE" w:rsidRPr="00134A6A" w:rsidRDefault="00E973EE" w:rsidP="00E973EE">
      <w:pPr>
        <w:spacing w:line="276" w:lineRule="auto"/>
        <w:rPr>
          <w:rFonts w:ascii="Arial" w:hAnsi="Arial" w:cs="Arial"/>
          <w:b/>
          <w:sz w:val="26"/>
          <w:szCs w:val="26"/>
        </w:rPr>
      </w:pPr>
    </w:p>
    <w:p w14:paraId="62BACFDB" w14:textId="6A71D7B4" w:rsidR="00E973EE" w:rsidRPr="00134A6A" w:rsidRDefault="00E973EE" w:rsidP="00E973EE">
      <w:pPr>
        <w:spacing w:line="276" w:lineRule="auto"/>
        <w:rPr>
          <w:rFonts w:ascii="Arial" w:hAnsi="Arial" w:cs="Arial"/>
          <w:b/>
          <w:sz w:val="24"/>
          <w:szCs w:val="24"/>
        </w:rPr>
      </w:pPr>
      <w:proofErr w:type="spellStart"/>
      <w:r w:rsidRPr="00134A6A">
        <w:rPr>
          <w:rFonts w:ascii="Arial" w:hAnsi="Arial" w:cs="Arial"/>
          <w:b/>
          <w:sz w:val="24"/>
          <w:szCs w:val="24"/>
        </w:rPr>
        <w:t>Opšte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kompetencije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: </w:t>
      </w:r>
    </w:p>
    <w:p w14:paraId="33C4F999" w14:textId="77777777" w:rsidR="00E973EE" w:rsidRPr="00134A6A" w:rsidRDefault="00E973EE" w:rsidP="00E973EE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Unaprijeđene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kompetencije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stručnjaka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inja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26A831C8" w14:textId="77777777" w:rsidR="00E973EE" w:rsidRPr="00134A6A" w:rsidRDefault="00E973EE" w:rsidP="00E973EE">
      <w:pPr>
        <w:numPr>
          <w:ilvl w:val="0"/>
          <w:numId w:val="3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Razvoj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vještina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stručnjaka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stručnjakinja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uspješnu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pomoć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podršku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žrtvama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71F1FCB3" w14:textId="77777777" w:rsidR="00E973EE" w:rsidRPr="00134A6A" w:rsidRDefault="00E973EE" w:rsidP="00E973E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A0CFD32" w14:textId="6DEE81AF" w:rsidR="00E973EE" w:rsidRPr="00134A6A" w:rsidRDefault="00E973EE" w:rsidP="00E973EE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b/>
          <w:sz w:val="24"/>
          <w:szCs w:val="24"/>
        </w:rPr>
        <w:t>Specifične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b/>
          <w:sz w:val="24"/>
          <w:szCs w:val="24"/>
        </w:rPr>
        <w:t>kompetencije</w:t>
      </w:r>
      <w:proofErr w:type="spellEnd"/>
      <w:r w:rsidRPr="00134A6A">
        <w:rPr>
          <w:rFonts w:ascii="Arial" w:hAnsi="Arial" w:cs="Arial"/>
          <w:b/>
          <w:sz w:val="24"/>
          <w:szCs w:val="24"/>
        </w:rPr>
        <w:t>:</w:t>
      </w:r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0F5A4CEC" w14:textId="77777777" w:rsidR="00E973EE" w:rsidRPr="00134A6A" w:rsidRDefault="00E973EE" w:rsidP="00E973EE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Poznaje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zakonsku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regulativu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1645A07A" w14:textId="77777777" w:rsidR="00E973EE" w:rsidRPr="00134A6A" w:rsidRDefault="00E973EE" w:rsidP="00E973E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Poznaje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specifičnosti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082A1847" w14:textId="77777777" w:rsidR="00E973EE" w:rsidRPr="00134A6A" w:rsidRDefault="00E973EE" w:rsidP="00E973EE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Posjeduje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traumi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p w14:paraId="51F218DC" w14:textId="77777777" w:rsidR="00E973EE" w:rsidRPr="00134A6A" w:rsidRDefault="00E973EE" w:rsidP="00E973EE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Posjeduje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informacije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izazovima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radu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žrtvama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 </w:t>
      </w:r>
    </w:p>
    <w:p w14:paraId="4FB08B2F" w14:textId="77777777" w:rsidR="00E973EE" w:rsidRPr="00134A6A" w:rsidRDefault="00E973EE" w:rsidP="00E973E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Posjeduje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konceptu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osnaživanja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 </w:t>
      </w:r>
    </w:p>
    <w:p w14:paraId="42D86D0E" w14:textId="77777777" w:rsidR="00E973EE" w:rsidRPr="00134A6A" w:rsidRDefault="00E973EE" w:rsidP="00E973EE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Posjeduje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osnovna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znanja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vještine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efikasno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efektivno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postupanje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r w:rsidRPr="00134A6A">
        <w:rPr>
          <w:rFonts w:ascii="Arial" w:hAnsi="Arial" w:cs="Arial"/>
          <w:sz w:val="24"/>
          <w:szCs w:val="24"/>
          <w:lang w:val="sr-Latn-ME"/>
        </w:rPr>
        <w:t>kako bi se pružila adekvatna podrška u procesu oporavka žrtava silovanja</w:t>
      </w:r>
    </w:p>
    <w:p w14:paraId="03DC89E8" w14:textId="77777777" w:rsidR="00E973EE" w:rsidRPr="00134A6A" w:rsidRDefault="00E973EE" w:rsidP="00E973EE">
      <w:pPr>
        <w:keepNext/>
        <w:keepLines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34A6A">
        <w:rPr>
          <w:rFonts w:ascii="Arial" w:hAnsi="Arial" w:cs="Arial"/>
          <w:sz w:val="24"/>
          <w:szCs w:val="24"/>
          <w:lang w:val="sr-Latn-CS"/>
        </w:rPr>
        <w:lastRenderedPageBreak/>
        <w:t>Radi u skladu sa propisima i standardima u struci</w:t>
      </w:r>
    </w:p>
    <w:p w14:paraId="3EA33843" w14:textId="77777777" w:rsidR="00E973EE" w:rsidRPr="00134A6A" w:rsidRDefault="00E973EE" w:rsidP="00E973EE">
      <w:pPr>
        <w:keepNext/>
        <w:keepLines/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  <w:sz w:val="24"/>
          <w:szCs w:val="24"/>
          <w:lang w:val="sr-Latn-CS"/>
        </w:rPr>
      </w:pPr>
      <w:r w:rsidRPr="00134A6A">
        <w:rPr>
          <w:rFonts w:ascii="Arial" w:hAnsi="Arial" w:cs="Arial"/>
          <w:sz w:val="24"/>
          <w:szCs w:val="24"/>
          <w:lang w:val="sr-Latn-CS"/>
        </w:rPr>
        <w:t xml:space="preserve">Poznaje važnost saradnje sa drugim profesionalcima/profesionalkama – praktičarima/praktičarka u pružanju pomoći i zaštite žrtvama seksualnog nasilja </w:t>
      </w:r>
    </w:p>
    <w:p w14:paraId="7CC2EA66" w14:textId="77777777" w:rsidR="00E41C85" w:rsidRPr="00134A6A" w:rsidRDefault="00E41C85" w:rsidP="00E41C85">
      <w:pPr>
        <w:spacing w:line="276" w:lineRule="auto"/>
        <w:ind w:left="720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17752685" w14:textId="77777777" w:rsidTr="00B219BC">
        <w:tc>
          <w:tcPr>
            <w:tcW w:w="8856" w:type="dxa"/>
            <w:shd w:val="clear" w:color="auto" w:fill="DBDBDB"/>
          </w:tcPr>
          <w:p w14:paraId="5CA740FE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Ciljna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grupa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stručnjaka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>/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stručnjakinja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kojima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je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namijenjena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0453726B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Ciljnu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grupu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ovog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čine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radnici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praktičari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porodici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47F5AC6F" w14:textId="77777777" w:rsidTr="00B219BC">
        <w:tc>
          <w:tcPr>
            <w:tcW w:w="8856" w:type="dxa"/>
            <w:shd w:val="clear" w:color="auto" w:fill="DBDBDB"/>
          </w:tcPr>
          <w:p w14:paraId="10592BE5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Oblast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na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koju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se program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odnosi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36E4F9AA" w14:textId="77777777" w:rsidR="00E41C85" w:rsidRPr="00134A6A" w:rsidRDefault="00E41C85" w:rsidP="00E41C85">
      <w:pPr>
        <w:spacing w:line="276" w:lineRule="auto"/>
        <w:rPr>
          <w:rFonts w:ascii="Arial" w:hAnsi="Arial" w:cs="Arial"/>
          <w:sz w:val="24"/>
          <w:szCs w:val="24"/>
        </w:rPr>
      </w:pPr>
      <w:r w:rsidRPr="00134A6A">
        <w:rPr>
          <w:rFonts w:ascii="Arial" w:hAnsi="Arial" w:cs="Arial"/>
          <w:sz w:val="24"/>
          <w:szCs w:val="24"/>
        </w:rPr>
        <w:t xml:space="preserve">Program se </w:t>
      </w:r>
      <w:proofErr w:type="spellStart"/>
      <w:r w:rsidRPr="00134A6A">
        <w:rPr>
          <w:rFonts w:ascii="Arial" w:hAnsi="Arial" w:cs="Arial"/>
          <w:sz w:val="24"/>
          <w:szCs w:val="24"/>
        </w:rPr>
        <w:t>odnosi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oblast </w:t>
      </w:r>
      <w:proofErr w:type="spellStart"/>
      <w:r w:rsidRPr="00134A6A">
        <w:rPr>
          <w:rFonts w:ascii="Arial" w:hAnsi="Arial" w:cs="Arial"/>
          <w:sz w:val="24"/>
          <w:szCs w:val="24"/>
        </w:rPr>
        <w:t>zaštite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porodici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11A8ADAB" w14:textId="77777777" w:rsidTr="00B219BC">
        <w:tc>
          <w:tcPr>
            <w:tcW w:w="8856" w:type="dxa"/>
            <w:shd w:val="clear" w:color="auto" w:fill="DBDBDB"/>
          </w:tcPr>
          <w:p w14:paraId="094AB259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Uslovi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za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uključivanje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stručnjaka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stručnjakinja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u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obuku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0F1B287B" w14:textId="77777777" w:rsidR="00E41C85" w:rsidRPr="00134A6A" w:rsidRDefault="00E41C85" w:rsidP="00E41C8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Pravo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pohađanje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imaju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radnici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skladu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članom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123. </w:t>
      </w:r>
      <w:proofErr w:type="spellStart"/>
      <w:r w:rsidRPr="00134A6A">
        <w:rPr>
          <w:rFonts w:ascii="Arial" w:hAnsi="Arial" w:cs="Arial"/>
          <w:sz w:val="24"/>
          <w:szCs w:val="24"/>
        </w:rPr>
        <w:t>Zakona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134A6A">
        <w:rPr>
          <w:rFonts w:ascii="Arial" w:hAnsi="Arial" w:cs="Arial"/>
          <w:sz w:val="24"/>
          <w:szCs w:val="24"/>
        </w:rPr>
        <w:t>socijalnoj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dječjoj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: </w:t>
      </w:r>
      <w:r w:rsidRPr="00134A6A">
        <w:rPr>
          <w:rFonts w:ascii="Arial" w:eastAsia="Calibri" w:hAnsi="Arial" w:cs="Arial"/>
          <w:sz w:val="24"/>
          <w:szCs w:val="24"/>
          <w:lang w:val="bs-Latn-BA"/>
        </w:rPr>
        <w:t xml:space="preserve">socijalni radnik/ca, psiholog/inja, pedagog/ica, andragog/ica, specijalni pedagog/ica, pravnik/ica, sociolog/inja, defektolog/inja, specijalni edukator/ka, rehabilitator/ka i doktor/ka medicine, kao i lica druge struke </w:t>
      </w:r>
      <w:proofErr w:type="gramStart"/>
      <w:r w:rsidRPr="00134A6A">
        <w:rPr>
          <w:rFonts w:ascii="Arial" w:eastAsia="Calibri" w:hAnsi="Arial" w:cs="Arial"/>
          <w:sz w:val="24"/>
          <w:szCs w:val="24"/>
          <w:lang w:val="bs-Latn-BA"/>
        </w:rPr>
        <w:t>sa</w:t>
      </w:r>
      <w:proofErr w:type="gramEnd"/>
      <w:r w:rsidRPr="00134A6A">
        <w:rPr>
          <w:rFonts w:ascii="Arial" w:eastAsia="Calibri" w:hAnsi="Arial" w:cs="Arial"/>
          <w:sz w:val="24"/>
          <w:szCs w:val="24"/>
          <w:lang w:val="bs-Latn-BA"/>
        </w:rPr>
        <w:t xml:space="preserve"> visokim obrazovanjem, koji obavljaju poslove kod pružaoca usluga. Takođe, pravo na pohađanje obuke imaju i drugi </w:t>
      </w:r>
      <w:proofErr w:type="spellStart"/>
      <w:r w:rsidRPr="00134A6A">
        <w:rPr>
          <w:rFonts w:ascii="Arial" w:hAnsi="Arial" w:cs="Arial"/>
          <w:sz w:val="24"/>
          <w:szCs w:val="24"/>
        </w:rPr>
        <w:t>praktičari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bave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nad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ženama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porodici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541DC604" w14:textId="77777777" w:rsidTr="00B219BC">
        <w:tc>
          <w:tcPr>
            <w:tcW w:w="8856" w:type="dxa"/>
            <w:shd w:val="clear" w:color="auto" w:fill="DBDBDB"/>
          </w:tcPr>
          <w:p w14:paraId="1FECA25E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Krajnji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korisnici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korisnice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15426770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Žene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preživjele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seksualno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nasilje</w:t>
      </w:r>
      <w:proofErr w:type="spellEnd"/>
      <w:r w:rsidRPr="00134A6A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694A3ACB" w14:textId="77777777" w:rsidTr="00B219BC">
        <w:tc>
          <w:tcPr>
            <w:tcW w:w="8856" w:type="dxa"/>
            <w:shd w:val="clear" w:color="auto" w:fill="DBDBDB"/>
          </w:tcPr>
          <w:p w14:paraId="2F870151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Broj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učesnika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učesnica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u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grupi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5FBE6AB1" w14:textId="77777777" w:rsidR="00E41C85" w:rsidRPr="00134A6A" w:rsidRDefault="00E41C85" w:rsidP="00E41C85">
      <w:pPr>
        <w:spacing w:line="276" w:lineRule="auto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Maksimalni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broj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učesnika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učesnica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obuci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do 20 </w:t>
      </w:r>
      <w:proofErr w:type="spellStart"/>
      <w:r w:rsidRPr="00134A6A">
        <w:rPr>
          <w:rFonts w:ascii="Arial" w:hAnsi="Arial" w:cs="Arial"/>
          <w:sz w:val="24"/>
          <w:szCs w:val="24"/>
        </w:rPr>
        <w:t>osoba</w:t>
      </w:r>
      <w:proofErr w:type="spellEnd"/>
      <w:r w:rsidRPr="00134A6A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27FE89C5" w14:textId="77777777" w:rsidTr="00B219BC">
        <w:tc>
          <w:tcPr>
            <w:tcW w:w="8856" w:type="dxa"/>
            <w:shd w:val="clear" w:color="auto" w:fill="DBDBDB"/>
          </w:tcPr>
          <w:p w14:paraId="270FE630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Dužina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trajanja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programa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6AF8053C" w14:textId="77777777" w:rsidR="00E41C85" w:rsidRPr="00134A6A" w:rsidRDefault="00E41C85" w:rsidP="00E41C8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34A6A">
        <w:rPr>
          <w:rFonts w:ascii="Arial" w:hAnsi="Arial" w:cs="Arial"/>
          <w:sz w:val="24"/>
          <w:szCs w:val="24"/>
        </w:rPr>
        <w:t>Planirano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vrijeme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realizacije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predloženog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programa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obuke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stručne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radnike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ce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praktičare</w:t>
      </w:r>
      <w:proofErr w:type="spellEnd"/>
      <w:r w:rsidRPr="00134A6A">
        <w:rPr>
          <w:rFonts w:ascii="Arial" w:hAnsi="Arial" w:cs="Arial"/>
          <w:sz w:val="24"/>
          <w:szCs w:val="24"/>
        </w:rPr>
        <w:t>/</w:t>
      </w:r>
      <w:proofErr w:type="spellStart"/>
      <w:r w:rsidRPr="00134A6A">
        <w:rPr>
          <w:rFonts w:ascii="Arial" w:hAnsi="Arial" w:cs="Arial"/>
          <w:sz w:val="24"/>
          <w:szCs w:val="24"/>
        </w:rPr>
        <w:t>ke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koji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se </w:t>
      </w:r>
      <w:proofErr w:type="spellStart"/>
      <w:r w:rsidRPr="00134A6A">
        <w:rPr>
          <w:rFonts w:ascii="Arial" w:hAnsi="Arial" w:cs="Arial"/>
          <w:sz w:val="24"/>
          <w:szCs w:val="24"/>
        </w:rPr>
        <w:t>bave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zaštitom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žrtava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nasilja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je 6 </w:t>
      </w:r>
      <w:proofErr w:type="spellStart"/>
      <w:r w:rsidRPr="00134A6A">
        <w:rPr>
          <w:rFonts w:ascii="Arial" w:hAnsi="Arial" w:cs="Arial"/>
          <w:sz w:val="24"/>
          <w:szCs w:val="24"/>
        </w:rPr>
        <w:t>radnih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sati. </w:t>
      </w:r>
      <w:proofErr w:type="spellStart"/>
      <w:r w:rsidRPr="00134A6A">
        <w:rPr>
          <w:rFonts w:ascii="Arial" w:hAnsi="Arial" w:cs="Arial"/>
          <w:sz w:val="24"/>
          <w:szCs w:val="24"/>
        </w:rPr>
        <w:t>Navedeno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podrazumijeva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realizaciju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sadržaja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tokom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jednog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34A6A">
        <w:rPr>
          <w:rFonts w:ascii="Arial" w:hAnsi="Arial" w:cs="Arial"/>
          <w:sz w:val="24"/>
          <w:szCs w:val="24"/>
        </w:rPr>
        <w:t>dana</w:t>
      </w:r>
      <w:proofErr w:type="spellEnd"/>
      <w:proofErr w:type="gram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trajanju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od 6 sati </w:t>
      </w:r>
      <w:proofErr w:type="spellStart"/>
      <w:r w:rsidRPr="00134A6A">
        <w:rPr>
          <w:rFonts w:ascii="Arial" w:hAnsi="Arial" w:cs="Arial"/>
          <w:sz w:val="24"/>
          <w:szCs w:val="24"/>
        </w:rPr>
        <w:t>ili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tokom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dva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radna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dana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134A6A">
        <w:rPr>
          <w:rFonts w:ascii="Arial" w:hAnsi="Arial" w:cs="Arial"/>
          <w:sz w:val="24"/>
          <w:szCs w:val="24"/>
        </w:rPr>
        <w:t>trajanju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134A6A">
        <w:rPr>
          <w:rFonts w:ascii="Arial" w:hAnsi="Arial" w:cs="Arial"/>
          <w:sz w:val="24"/>
          <w:szCs w:val="24"/>
        </w:rPr>
        <w:t>po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3 </w:t>
      </w:r>
      <w:proofErr w:type="spellStart"/>
      <w:r w:rsidRPr="00134A6A">
        <w:rPr>
          <w:rFonts w:ascii="Arial" w:hAnsi="Arial" w:cs="Arial"/>
          <w:sz w:val="24"/>
          <w:szCs w:val="24"/>
        </w:rPr>
        <w:t>sata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.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41C85" w:rsidRPr="00134A6A" w14:paraId="04B5D82B" w14:textId="77777777" w:rsidTr="00B219BC">
        <w:tc>
          <w:tcPr>
            <w:tcW w:w="8856" w:type="dxa"/>
            <w:shd w:val="clear" w:color="auto" w:fill="DBDBDB"/>
          </w:tcPr>
          <w:p w14:paraId="47EDB141" w14:textId="77777777" w:rsidR="00E41C85" w:rsidRPr="00134A6A" w:rsidRDefault="00E41C85" w:rsidP="00B219BC">
            <w:pPr>
              <w:spacing w:line="276" w:lineRule="auto"/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</w:pPr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Audio –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vizuelna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i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druga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tehnička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sredstva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za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izvođenje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proofErr w:type="spellStart"/>
            <w:r w:rsidRPr="00134A6A">
              <w:rPr>
                <w:rFonts w:ascii="Arial" w:hAnsi="Arial" w:cs="Arial"/>
                <w:b/>
                <w:sz w:val="26"/>
                <w:szCs w:val="26"/>
              </w:rPr>
              <w:t>obuke</w:t>
            </w:r>
            <w:proofErr w:type="spellEnd"/>
            <w:r w:rsidRPr="00134A6A">
              <w:rPr>
                <w:rFonts w:ascii="Arial" w:hAnsi="Arial" w:cs="Arial"/>
                <w:b/>
                <w:sz w:val="26"/>
                <w:szCs w:val="26"/>
              </w:rPr>
              <w:t xml:space="preserve">      </w:t>
            </w:r>
            <w:r w:rsidRPr="00134A6A">
              <w:rPr>
                <w:rFonts w:ascii="Arial" w:hAnsi="Arial" w:cs="Arial"/>
                <w:b/>
                <w:bCs/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14:paraId="4F329D05" w14:textId="77777777" w:rsidR="00E41C85" w:rsidRPr="00134A6A" w:rsidRDefault="00E41C85" w:rsidP="00E41C85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34A6A">
        <w:rPr>
          <w:rFonts w:ascii="Arial" w:hAnsi="Arial" w:cs="Arial"/>
          <w:sz w:val="24"/>
          <w:szCs w:val="24"/>
        </w:rPr>
        <w:t xml:space="preserve">Laptop, </w:t>
      </w:r>
      <w:proofErr w:type="spellStart"/>
      <w:r w:rsidRPr="00134A6A">
        <w:rPr>
          <w:rFonts w:ascii="Arial" w:hAnsi="Arial" w:cs="Arial"/>
          <w:sz w:val="24"/>
          <w:szCs w:val="24"/>
        </w:rPr>
        <w:t>projektor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34A6A">
        <w:rPr>
          <w:rFonts w:ascii="Arial" w:hAnsi="Arial" w:cs="Arial"/>
          <w:sz w:val="24"/>
          <w:szCs w:val="24"/>
        </w:rPr>
        <w:t>projekciono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34A6A">
        <w:rPr>
          <w:rFonts w:ascii="Arial" w:hAnsi="Arial" w:cs="Arial"/>
          <w:sz w:val="24"/>
          <w:szCs w:val="24"/>
        </w:rPr>
        <w:t>platno</w:t>
      </w:r>
      <w:proofErr w:type="spellEnd"/>
      <w:r w:rsidRPr="00134A6A">
        <w:rPr>
          <w:rFonts w:ascii="Arial" w:hAnsi="Arial" w:cs="Arial"/>
          <w:sz w:val="24"/>
          <w:szCs w:val="24"/>
        </w:rPr>
        <w:t xml:space="preserve">, flipchart </w:t>
      </w:r>
    </w:p>
    <w:sectPr w:rsidR="00E41C85" w:rsidRPr="0013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AE68F1"/>
    <w:multiLevelType w:val="hybridMultilevel"/>
    <w:tmpl w:val="69CAF0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E55F96"/>
    <w:multiLevelType w:val="multilevel"/>
    <w:tmpl w:val="7018E6E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546F6FF7"/>
    <w:multiLevelType w:val="hybridMultilevel"/>
    <w:tmpl w:val="712646EE"/>
    <w:lvl w:ilvl="0" w:tplc="8BEC568C">
      <w:start w:val="1"/>
      <w:numFmt w:val="decimal"/>
      <w:lvlText w:val="%1."/>
      <w:lvlJc w:val="left"/>
      <w:pPr>
        <w:ind w:left="720" w:hanging="360"/>
      </w:pPr>
      <w:rPr>
        <w:rFonts w:ascii="Cambria" w:eastAsia="Calibri" w:hAnsi="Cambria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A57CD"/>
    <w:multiLevelType w:val="hybridMultilevel"/>
    <w:tmpl w:val="9ED82B2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FA"/>
    <w:rsid w:val="00134A6A"/>
    <w:rsid w:val="003C70FA"/>
    <w:rsid w:val="00436173"/>
    <w:rsid w:val="00836373"/>
    <w:rsid w:val="00E41C85"/>
    <w:rsid w:val="00E9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644E7"/>
  <w15:chartTrackingRefBased/>
  <w15:docId w15:val="{01FFC8C2-B2AD-4DFE-A232-D46605F9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C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E41C8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2022-05-17T09:03:00Z</dcterms:created>
  <dcterms:modified xsi:type="dcterms:W3CDTF">2022-05-17T09:03:00Z</dcterms:modified>
</cp:coreProperties>
</file>