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968" w:rsidRDefault="007538D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Obrazac A-2</w:t>
      </w:r>
    </w:p>
    <w:p w:rsidR="002B7968" w:rsidRDefault="007538D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Obuka za pružanje usluge predah hraniteljstva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Katlin Brašić-konsultant UNICEF-a, </w:t>
            </w:r>
            <w:r>
              <w:rPr>
                <w:rFonts w:ascii="Times New Roman" w:hAnsi="Times New Roman" w:cs="Times New Roman"/>
                <w:lang w:val="en-US"/>
              </w:rPr>
              <w:t>stru</w:t>
            </w:r>
            <w:r>
              <w:rPr>
                <w:rFonts w:ascii="Times New Roman" w:hAnsi="Times New Roman" w:cs="Times New Roman"/>
                <w:lang w:val="sr-Latn-RS"/>
              </w:rPr>
              <w:t xml:space="preserve">čnjak u oblasti socijalne i dječje zaštite sa dugogodišnjim iskustvom rada u regionu i Velikoj Britaniji.  </w:t>
            </w: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Ivana Koprivica, ekspert u oblasti socijalne i dječje zaštite sa fokusom na pružanje usluge hraniteljstva u Srbiji, vd direktora Centra za porodični</w:t>
            </w:r>
            <w:r>
              <w:rPr>
                <w:rFonts w:ascii="Times New Roman" w:hAnsi="Times New Roman" w:cs="Times New Roman"/>
                <w:lang w:val="sr-Latn-RS"/>
              </w:rPr>
              <w:t xml:space="preserve"> smeštaj i usvojenje Novi Sad</w:t>
            </w: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Suzana Milović, rukovoditeljka Centra za socijalni rad Podgorica, </w:t>
            </w:r>
            <w:r>
              <w:rPr>
                <w:rFonts w:ascii="Times New Roman" w:hAnsi="Times New Roman" w:cs="Times New Roman"/>
                <w:lang w:val="en-US"/>
              </w:rPr>
              <w:t>dugo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  <w:r>
              <w:rPr>
                <w:rFonts w:ascii="Times New Roman" w:hAnsi="Times New Roman" w:cs="Times New Roman"/>
                <w:lang w:val="en-US"/>
              </w:rPr>
              <w:t xml:space="preserve">odišnji stručnjak u oblasti </w:t>
            </w:r>
            <w:r>
              <w:rPr>
                <w:rFonts w:ascii="Times New Roman" w:hAnsi="Times New Roman" w:cs="Times New Roman"/>
                <w:lang w:val="sr-Latn-RS"/>
              </w:rPr>
              <w:t xml:space="preserve"> socijalne i dječje zaštite i socijalnog rada sa posebnim fokusom na zaštitu dece  sa smetnjama i teškoćama u razvoju u Crnoj G</w:t>
            </w:r>
            <w:r>
              <w:rPr>
                <w:rFonts w:ascii="Times New Roman" w:hAnsi="Times New Roman" w:cs="Times New Roman"/>
                <w:lang w:val="sr-Latn-RS"/>
              </w:rPr>
              <w:t>ori.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Katlin Brašić-konsultant UNICEF-a</w:t>
            </w:r>
            <w:r>
              <w:rPr>
                <w:rStyle w:val="CommentReference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stru</w:t>
            </w:r>
            <w:r>
              <w:rPr>
                <w:rFonts w:ascii="Times New Roman" w:hAnsi="Times New Roman" w:cs="Times New Roman"/>
                <w:lang w:val="sr-Latn-RS"/>
              </w:rPr>
              <w:t>čnjak u oblasti socijalne i dječje zaštite sa dugogodišnjim iskustvom rada u regionu i Velikoj Britaniji.</w:t>
            </w: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Ivana Koprivica, ekspert u oblasti socijalne i dječje zaštite sa fokusom na</w:t>
            </w:r>
            <w:r>
              <w:rPr>
                <w:rFonts w:ascii="Times New Roman" w:hAnsi="Times New Roman" w:cs="Times New Roman"/>
                <w:lang w:val="sr-Latn-RS"/>
              </w:rPr>
              <w:t xml:space="preserve"> pružanje usluge hraniteljstva u Srbiji, vd direktora Centra za porodični smeštaj i usvojenje Novi Sad</w:t>
            </w:r>
          </w:p>
          <w:p w:rsidR="002B7968" w:rsidRDefault="007538DA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Suzana Milović, rukovoditeljka Centra za socijalni rad Podgorica, </w:t>
            </w:r>
            <w:r>
              <w:rPr>
                <w:rFonts w:ascii="Times New Roman" w:hAnsi="Times New Roman" w:cs="Times New Roman"/>
                <w:lang w:val="en-US"/>
              </w:rPr>
              <w:t xml:space="preserve">dugododišnji stručnjak u oblasti </w:t>
            </w:r>
            <w:r>
              <w:rPr>
                <w:rFonts w:ascii="Times New Roman" w:hAnsi="Times New Roman" w:cs="Times New Roman"/>
                <w:lang w:val="sr-Latn-RS"/>
              </w:rPr>
              <w:t xml:space="preserve"> socijalne i dječje zaštite i socijalnog rada sa poseb</w:t>
            </w:r>
            <w:r>
              <w:rPr>
                <w:rFonts w:ascii="Times New Roman" w:hAnsi="Times New Roman" w:cs="Times New Roman"/>
                <w:lang w:val="sr-Latn-RS"/>
              </w:rPr>
              <w:t>nim fokusom na zaštitu dece  sa smetnjama i teškoćama u razvoju u Crnoj Gori.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Katlin Zara Brašić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381 63 83 45462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Opšti cilj obuke:  </w:t>
            </w:r>
          </w:p>
          <w:p w:rsidR="002B7968" w:rsidRDefault="007538DA">
            <w:pPr>
              <w:pStyle w:val="NormalWeb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val="sr-Latn-RS" w:eastAsia="en-US"/>
              </w:rPr>
              <w:t>Razviti kapacitete stručnih radnika za planiranje, sprovođenje i praćenje usluge predah hraniteljstva u Crnoj Gori.</w:t>
            </w:r>
          </w:p>
          <w:p w:rsidR="002B7968" w:rsidRDefault="007538DA">
            <w:pPr>
              <w:pStyle w:val="Heading3"/>
              <w:rPr>
                <w:rFonts w:ascii="Times New Roman" w:eastAsiaTheme="minorHAnsi" w:hAnsi="Times New Roman" w:hint="default"/>
                <w:sz w:val="22"/>
                <w:szCs w:val="22"/>
                <w:lang w:val="sr-Latn-RS"/>
              </w:rPr>
            </w:pPr>
            <w:r>
              <w:rPr>
                <w:rFonts w:ascii="Times New Roman" w:eastAsiaTheme="minorHAnsi" w:hAnsi="Times New Roman" w:hint="default"/>
                <w:sz w:val="22"/>
                <w:szCs w:val="22"/>
              </w:rPr>
              <w:t>Specifični ciljevi</w:t>
            </w:r>
            <w:r>
              <w:rPr>
                <w:rFonts w:ascii="Times New Roman" w:eastAsiaTheme="minorHAnsi" w:hAnsi="Times New Roman" w:hint="default"/>
                <w:sz w:val="22"/>
                <w:szCs w:val="22"/>
                <w:lang w:val="sr-Latn-RS"/>
              </w:rPr>
              <w:t xml:space="preserve"> obuke: 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bidi="ar"/>
              </w:rPr>
            </w:pPr>
            <w:r>
              <w:rPr>
                <w:sz w:val="22"/>
                <w:szCs w:val="22"/>
                <w:lang w:bidi="ar"/>
              </w:rPr>
              <w:t xml:space="preserve">Osnažiti razumevanje značaja predah </w:t>
            </w:r>
            <w:r>
              <w:rPr>
                <w:sz w:val="22"/>
                <w:szCs w:val="22"/>
                <w:lang w:val="sr-Latn-RS" w:bidi="ar"/>
              </w:rPr>
              <w:t xml:space="preserve">usluge u kontekstu reformskih prioriteta socijalne zaštite i socijalne inkluzije.  Produbiti znanje učesnika o različitim modalitetima predah usluge, u odnosu na uzrast, entiteta koji pruža uslugu i različitih vrsta korisnika.  </w:t>
            </w:r>
            <w:r>
              <w:rPr>
                <w:sz w:val="22"/>
                <w:szCs w:val="22"/>
                <w:lang w:bidi="ar"/>
              </w:rPr>
              <w:t>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bidi="ar"/>
              </w:rPr>
            </w:pPr>
            <w:r>
              <w:rPr>
                <w:sz w:val="22"/>
                <w:szCs w:val="22"/>
                <w:lang w:val="sr-Latn-RS" w:bidi="ar"/>
              </w:rPr>
              <w:t>Unaprediti znanja stručnih</w:t>
            </w:r>
            <w:r>
              <w:rPr>
                <w:sz w:val="22"/>
                <w:szCs w:val="22"/>
                <w:lang w:val="sr-Latn-RS" w:bidi="ar"/>
              </w:rPr>
              <w:t xml:space="preserve"> radnika </w:t>
            </w:r>
            <w:r>
              <w:rPr>
                <w:sz w:val="22"/>
                <w:szCs w:val="22"/>
                <w:lang w:val="sr-Latn-RS" w:bidi="ar"/>
              </w:rPr>
              <w:t xml:space="preserve">o organizovanju predah usluge u okviru sistema hraniteljstva i </w:t>
            </w:r>
            <w:r>
              <w:rPr>
                <w:sz w:val="22"/>
                <w:szCs w:val="22"/>
                <w:lang w:val="sr-Latn-RS" w:bidi="ar"/>
              </w:rPr>
              <w:t xml:space="preserve">primenu </w:t>
            </w:r>
            <w:r>
              <w:rPr>
                <w:sz w:val="22"/>
                <w:szCs w:val="22"/>
                <w:lang w:bidi="ar"/>
              </w:rPr>
              <w:t>opšt</w:t>
            </w:r>
            <w:r>
              <w:rPr>
                <w:sz w:val="22"/>
                <w:szCs w:val="22"/>
                <w:lang w:val="sr-Latn-RS" w:bidi="ar"/>
              </w:rPr>
              <w:t>ih</w:t>
            </w:r>
            <w:r>
              <w:rPr>
                <w:sz w:val="22"/>
                <w:szCs w:val="22"/>
                <w:lang w:bidi="ar"/>
              </w:rPr>
              <w:t xml:space="preserve"> standard</w:t>
            </w:r>
            <w:r>
              <w:rPr>
                <w:sz w:val="22"/>
                <w:szCs w:val="22"/>
                <w:lang w:val="sr-Latn-RS" w:bidi="ar"/>
              </w:rPr>
              <w:t xml:space="preserve">a </w:t>
            </w:r>
            <w:r>
              <w:rPr>
                <w:sz w:val="22"/>
                <w:szCs w:val="22"/>
                <w:lang w:bidi="ar"/>
              </w:rPr>
              <w:t xml:space="preserve">hraniteljstva </w:t>
            </w:r>
            <w:r>
              <w:rPr>
                <w:sz w:val="22"/>
                <w:szCs w:val="22"/>
                <w:lang w:val="sr-Latn-RS" w:bidi="ar"/>
              </w:rPr>
              <w:t>na uslug</w:t>
            </w:r>
            <w:r>
              <w:rPr>
                <w:sz w:val="22"/>
                <w:szCs w:val="22"/>
                <w:lang w:val="sr-Latn-RS" w:bidi="ar"/>
              </w:rPr>
              <w:t>u</w:t>
            </w:r>
            <w:r>
              <w:rPr>
                <w:sz w:val="22"/>
                <w:szCs w:val="22"/>
                <w:lang w:val="sr-Latn-RS" w:bidi="ar"/>
              </w:rPr>
              <w:t xml:space="preserve"> predah hraniteljstva. 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lastRenderedPageBreak/>
              <w:t>Produbiti znanje o specifičnim standardima predah hraniteljstva i njihovoj praktičnoj primeni</w:t>
            </w:r>
            <w:r>
              <w:rPr>
                <w:rFonts w:eastAsiaTheme="minorHAnsi"/>
                <w:sz w:val="22"/>
                <w:szCs w:val="22"/>
                <w:lang w:val="sr-Latn-RS"/>
              </w:rPr>
              <w:t xml:space="preserve"> </w:t>
            </w:r>
            <w:r>
              <w:t>sa ciljem prevenci</w:t>
            </w:r>
            <w:r>
              <w:t>je institucionalizacije sa fokusom na djecu iz ranjivih grupa</w:t>
            </w:r>
            <w:r>
              <w:rPr>
                <w:rFonts w:eastAsiaTheme="minorHAnsi"/>
                <w:sz w:val="22"/>
                <w:szCs w:val="22"/>
              </w:rPr>
              <w:t>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Razviti kompetencije za pružanje usluge </w:t>
            </w:r>
            <w:r>
              <w:rPr>
                <w:rFonts w:eastAsiaTheme="minorHAnsi"/>
                <w:sz w:val="22"/>
                <w:szCs w:val="22"/>
                <w:lang w:val="sr-Latn-RS"/>
              </w:rPr>
              <w:t xml:space="preserve">predaha </w:t>
            </w:r>
            <w:r>
              <w:rPr>
                <w:rFonts w:eastAsiaTheme="minorHAnsi"/>
                <w:sz w:val="22"/>
                <w:szCs w:val="22"/>
              </w:rPr>
              <w:t>koja odgovara individualnim potrebama roditelja i istovremeno podstiče razvoj deteta.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Upoznati stručne radnike sa specifičnostima usluge predah h</w:t>
            </w:r>
            <w:r>
              <w:rPr>
                <w:rFonts w:eastAsiaTheme="minorHAnsi"/>
                <w:sz w:val="22"/>
                <w:szCs w:val="22"/>
              </w:rPr>
              <w:t>raniteljstva za decu sa smetnjama</w:t>
            </w:r>
            <w:r>
              <w:rPr>
                <w:rFonts w:eastAsiaTheme="minorHAnsi"/>
                <w:sz w:val="22"/>
                <w:szCs w:val="22"/>
                <w:lang w:val="sr-Latn-RS"/>
              </w:rPr>
              <w:t xml:space="preserve"> i teškoćama</w:t>
            </w:r>
            <w:r>
              <w:rPr>
                <w:rFonts w:eastAsiaTheme="minorHAnsi"/>
                <w:sz w:val="22"/>
                <w:szCs w:val="22"/>
              </w:rPr>
              <w:t xml:space="preserve"> u razvoju.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Unapređenje znanja i veština za pružanje podrške biološkim porodicama kao potencijalnim korisnicima usluge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Latn-RS"/>
              </w:rPr>
              <w:t>Unapređenje znanja i veština za edukaciju hranitelja kao potencijalnih pružalaca usluge pred</w:t>
            </w:r>
            <w:r>
              <w:rPr>
                <w:rFonts w:eastAsiaTheme="minorHAnsi"/>
                <w:sz w:val="22"/>
                <w:szCs w:val="22"/>
                <w:lang w:val="sr-Latn-RS"/>
              </w:rPr>
              <w:t xml:space="preserve">ah hraniteljstva. 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val="sr-Latn-RS"/>
              </w:rPr>
              <w:t>Unapređenje znanja i vještina polaznika obuke za držanje obuka hraniteljima.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Oblast socijalne i dečije zaštite na koju se odnosi:  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Osnaživanje bioloških porodica sa decom sa smetnjama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u razvoju i problemima u ponašanju kroz obezbeđivanje predaha roditeljima i starateljima. 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Razvoj hraniteljstva sa intenzivnom podrškom kroz pružanje predah usluge hraniteljima sa decom sa smetnjama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u razvoju i problemima u ponašanju 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Deinstitu</w:t>
            </w:r>
            <w:r>
              <w:rPr>
                <w:rFonts w:ascii="Times New Roman" w:hAnsi="Times New Roman" w:cs="Times New Roman"/>
                <w:lang w:val="sr-Latn-RS"/>
              </w:rPr>
              <w:t>cionalizacija i razvoj usluga u zajednici za decu u riziku od izmeštanja iz porodice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Sadržaj programa obuke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Program obuke se sastoji iz 7 tematskih celina.  Svaka tematska celina predstavlja posebnu sesiju.  Kratak opis tematskih celina odnosno sesija je sledeći: </w:t>
            </w:r>
          </w:p>
          <w:p w:rsidR="002B7968" w:rsidRDefault="002B796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Sesija 1:</w:t>
            </w:r>
            <w:r>
              <w:rPr>
                <w:rFonts w:ascii="Times New Roman" w:hAnsi="Times New Roman" w:cs="Times New Roman"/>
                <w:lang w:val="sr-Latn-RS"/>
              </w:rPr>
              <w:t xml:space="preserve"> Ova sesija će pružiti pregled usluge predaha, njenog značaja i uloge u zaštiti prava det</w:t>
            </w:r>
            <w:r>
              <w:rPr>
                <w:rFonts w:ascii="Times New Roman" w:hAnsi="Times New Roman" w:cs="Times New Roman"/>
                <w:lang w:val="sr-Latn-RS"/>
              </w:rPr>
              <w:t xml:space="preserve">eta.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Značaj razvoja ove usluge, biće razmotren iz perspektive međunarodnih i regionalnih standarda, normativnog okvira koji reguliše sistem socijalne i dječje zaštite i relevantnih strateških dokumenata i akcionih planova.  Poseban akcenat biće stavljen n</w:t>
            </w:r>
            <w:r>
              <w:rPr>
                <w:rFonts w:ascii="Times New Roman" w:hAnsi="Times New Roman" w:cs="Times New Roman"/>
                <w:lang w:val="sr-Latn-RS"/>
              </w:rPr>
              <w:t xml:space="preserve">a nalaze relevantnih naučnih istraživanja koja ukazuju na efekte usluge predaha u kontekstu očuvanja porodice, očuvanja roditeljskih kapaciteta, razvoja deteta i ostvarivanje sistemskih ciljeva socijalne i dječje zaštite. </w:t>
            </w:r>
            <w:r>
              <w:rPr>
                <w:rFonts w:ascii="Times New Roman" w:hAnsi="Times New Roman" w:cs="Times New Roman"/>
                <w:lang w:val="sr-Latn-RS"/>
              </w:rPr>
              <w:t>Kroz ovu sesiju učesnici će biti u</w:t>
            </w:r>
            <w:r>
              <w:rPr>
                <w:rFonts w:ascii="Times New Roman" w:hAnsi="Times New Roman" w:cs="Times New Roman"/>
                <w:lang w:val="sr-Latn-RS"/>
              </w:rPr>
              <w:t xml:space="preserve">poznati sa </w:t>
            </w:r>
            <w:r>
              <w:rPr>
                <w:rFonts w:ascii="Times New Roman" w:hAnsi="Times New Roman" w:cs="Times New Roman"/>
                <w:lang w:val="sr-Latn-RS"/>
              </w:rPr>
              <w:t xml:space="preserve">različitim vrstama predah usluge, odnosno podelama po korisničkoj grupi, uzrastu, kao i po entitetu koji pruža predah uslugu.  Učesnici će biti upoznati sa primerima pružanja predah usluge od strane pružaoca usluga u zajednici, u okviru sistema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hraniteljstva i smeštajnih ustanova.  Akcenat će biti stavljen na prednosti pružanja predah usluge u zajednici, kako kroz organizacije sa akreditacijom za pružanje ovih usluga, tako i od strane sistema hraniteljske zaštite, što je u skladu sa međunarodnim </w:t>
            </w:r>
            <w:r>
              <w:rPr>
                <w:rFonts w:ascii="Times New Roman" w:hAnsi="Times New Roman" w:cs="Times New Roman"/>
                <w:lang w:val="sr-Latn-RS"/>
              </w:rPr>
              <w:t xml:space="preserve">standardima i nacionalnim prioritetima razvoja sistema brige o deci. </w:t>
            </w:r>
            <w:r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  <w:p w:rsidR="002B7968" w:rsidRDefault="002B796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Sesija 2:</w:t>
            </w:r>
            <w:r>
              <w:rPr>
                <w:rFonts w:ascii="Times New Roman" w:hAnsi="Times New Roman" w:cs="Times New Roman"/>
                <w:lang w:val="sr-Latn-RS"/>
              </w:rPr>
              <w:t xml:space="preserve"> Ova sesija baviće se uslugom predaha kao delom sistema hraniteljske zaštite. U uvodnom delu biće predstavljeni opšti standardi za hraniteljstvo, nakon čega će učesnici kroz </w:t>
            </w:r>
            <w:r>
              <w:rPr>
                <w:rFonts w:ascii="Times New Roman" w:hAnsi="Times New Roman" w:cs="Times New Roman"/>
                <w:lang w:val="sr-Latn-RS"/>
              </w:rPr>
              <w:t xml:space="preserve">grupni rad analizirati njihovu primenljivost na uslugu predaha i razviti dublje razumevanje predah usluge kao deo hraniteljske zaštite i kako ovaj model pružanja predah usluge doprinosi kvalitetu i obezbeđivanju standarda zaštite dece. </w:t>
            </w:r>
          </w:p>
          <w:p w:rsidR="002B7968" w:rsidRDefault="007538DA">
            <w:pPr>
              <w:pStyle w:val="NormalWeb"/>
              <w:jc w:val="both"/>
              <w:rPr>
                <w:rFonts w:eastAsiaTheme="minorHAnsi"/>
                <w:sz w:val="22"/>
                <w:szCs w:val="22"/>
                <w:lang w:val="sr-Latn-RS"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sr-Latn-RS" w:eastAsia="en-US"/>
              </w:rPr>
              <w:t xml:space="preserve">Sesija 3:  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>Ova sesi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 xml:space="preserve">ja fokusira se na specifične standarde za uslugu predah hraniteljstva. Učesnici će se upoznati sa standardima koji se odnose na ciljne grupe, vreme trajanja, pristup usluzi, operacionalizaciju usluge, planiranje, podršku i praćenje, sa posebnim fokusom na 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>proceduralne aspekte organizacije sistema. Takođe će biti razmotrena procena troškova i značaj fleksibilnosti sistema kako bi se omogućilo pružanje predaha od strane rodbine ili osoba bliskih porodici.</w:t>
            </w: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lastRenderedPageBreak/>
              <w:t>Se</w:t>
            </w:r>
            <w:r>
              <w:rPr>
                <w:rFonts w:ascii="Times New Roman" w:hAnsi="Times New Roman" w:cs="Times New Roman"/>
                <w:b/>
                <w:bCs/>
                <w:lang w:val="sr-Latn-RS" w:eastAsia="zh-CN"/>
              </w:rPr>
              <w:t>sija 4:</w:t>
            </w:r>
            <w:r>
              <w:rPr>
                <w:rFonts w:ascii="Times New Roman" w:hAnsi="Times New Roman" w:cs="Times New Roman"/>
                <w:lang w:val="sr-Latn-RS" w:eastAsia="zh-CN"/>
              </w:rPr>
              <w:t xml:space="preserve">  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Ova sesija bavi se primenom motivacionog </w:t>
            </w:r>
            <w:r>
              <w:rPr>
                <w:rFonts w:ascii="Times New Roman" w:hAnsi="Times New Roman" w:cs="Times New Roman"/>
                <w:lang w:val="en-US" w:eastAsia="zh-CN"/>
              </w:rPr>
              <w:t>intervjua kao pristupa u radu sa roditeljima koji bi mogli imati koristi od usluge predaha. Učesnici će se upoznati sa osnovnim principima ovog metoda i načinima kako kroz empatičnu komunikaciju podstaći poverenje i otvorenost roditelja. Takođe, biće razma</w:t>
            </w:r>
            <w:r>
              <w:rPr>
                <w:rFonts w:ascii="Times New Roman" w:hAnsi="Times New Roman" w:cs="Times New Roman"/>
                <w:lang w:val="en-US" w:eastAsia="zh-CN"/>
              </w:rPr>
              <w:t>trani efikasni načini promocije usluge predaha u lokalnoj zajednici radi veće dostupnosti i prihvaćenosti.</w:t>
            </w:r>
          </w:p>
          <w:p w:rsidR="002B7968" w:rsidRDefault="007538DA">
            <w:pPr>
              <w:pStyle w:val="NormalWeb"/>
              <w:jc w:val="both"/>
              <w:rPr>
                <w:rFonts w:eastAsiaTheme="minorHAnsi"/>
                <w:sz w:val="22"/>
                <w:szCs w:val="22"/>
                <w:lang w:val="sr-Latn-RS"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val="sr-Latn-RS" w:eastAsia="en-US"/>
              </w:rPr>
              <w:t>Sesija 5: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 xml:space="preserve"> Usluga predaha u funkciji podrške roditeljima: Ova sesija će istražiti kako se usluga predaha može efikasno koristiti za podršku roditeljim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>a. Fokus će biti na ulozi stručnjaka socijalne i dječje zaštite i hranitelja kao pružalaca ove usluge i na tome kako mogu zajedno da odgovore na specifične potrebe roditelja odnosno staraoca ili hranitelja. Kroz praktične primere i diskusiju, učesnici će s</w:t>
            </w:r>
            <w:r>
              <w:rPr>
                <w:rFonts w:eastAsiaTheme="minorHAnsi"/>
                <w:sz w:val="22"/>
                <w:szCs w:val="22"/>
                <w:lang w:val="sr-Latn-RS" w:eastAsia="en-US"/>
              </w:rPr>
              <w:t>teći bolje razumevanje načina pružanja podrške koja se zasniva na izgradnji poverenja sa roditeljima i doprinosi njihovoj dobrobiti kako bi oni bili osnaženi da pružaju što bolju podršku detetu.</w:t>
            </w: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Sesija 6:</w:t>
            </w:r>
            <w:r>
              <w:rPr>
                <w:rFonts w:ascii="Times New Roman" w:hAnsi="Times New Roman" w:cs="Times New Roman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Ova sesija bavi se time kako organizovati uslugu p</w:t>
            </w:r>
            <w:r>
              <w:rPr>
                <w:rFonts w:ascii="Times New Roman" w:hAnsi="Times New Roman" w:cs="Times New Roman"/>
                <w:lang w:val="en-US"/>
              </w:rPr>
              <w:t xml:space="preserve">redaha tako da ona zaista ispuni svoj cilj u domenu podrške detetu. Fokus će biti na razumevanju potreba deteta i na načinima kako ga direktno, ali i posredno — kroz rad sa hraniteljima — možemo osnažiti da dobije najveću moguću korist iz usluge. Učesnici </w:t>
            </w:r>
            <w:r>
              <w:rPr>
                <w:rFonts w:ascii="Times New Roman" w:hAnsi="Times New Roman" w:cs="Times New Roman"/>
                <w:lang w:val="en-US"/>
              </w:rPr>
              <w:t>će kroz diskusiju i analizu primera istražiti pristupe koji stavljaju dete u centar usluge, osiguravajući da predah bude iskustvo koje doprinosi njegovom razvoju, dobrobiti i osećaju sigurnosti.</w:t>
            </w:r>
            <w:r>
              <w:rPr>
                <w:rFonts w:ascii="Times New Roman" w:hAnsi="Times New Roman" w:cs="Times New Roman"/>
                <w:lang w:val="sr-Latn-RS"/>
              </w:rPr>
              <w:t xml:space="preserve">  </w:t>
            </w:r>
          </w:p>
          <w:p w:rsidR="002B7968" w:rsidRDefault="002B7968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:rsidR="002B7968" w:rsidRDefault="007538DA">
            <w:pPr>
              <w:pStyle w:val="ListParagraph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>Sesija 7:</w:t>
            </w:r>
            <w:r>
              <w:rPr>
                <w:rFonts w:ascii="Times New Roman" w:hAnsi="Times New Roman" w:cs="Times New Roman"/>
                <w:lang w:val="sr-Latn-RS"/>
              </w:rPr>
              <w:t xml:space="preserve">  Predah za decu sa </w:t>
            </w:r>
            <w:r>
              <w:rPr>
                <w:rFonts w:ascii="Times New Roman" w:hAnsi="Times New Roman" w:cs="Times New Roman"/>
                <w:lang w:val="sr-Latn-RS" w:eastAsia="zh-CN"/>
              </w:rPr>
              <w:t xml:space="preserve">smetnjama </w:t>
            </w:r>
            <w:r>
              <w:rPr>
                <w:rFonts w:ascii="Times New Roman" w:hAnsi="Times New Roman" w:cs="Times New Roman"/>
                <w:lang w:val="sr-Latn-RS" w:eastAsia="zh-CN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 w:eastAsia="zh-CN"/>
              </w:rPr>
              <w:t xml:space="preserve">u razvoju.  </w:t>
            </w:r>
            <w:r>
              <w:rPr>
                <w:rFonts w:ascii="Times New Roman" w:hAnsi="Times New Roman" w:cs="Times New Roman"/>
                <w:lang w:val="en-US" w:eastAsia="zh-CN"/>
              </w:rPr>
              <w:t xml:space="preserve">Ova sesija fokusira se na obezbeđivanje predah usluge za decu sa smetnjama </w:t>
            </w:r>
            <w:r>
              <w:rPr>
                <w:rFonts w:ascii="Times New Roman" w:hAnsi="Times New Roman" w:cs="Times New Roman"/>
                <w:lang w:val="sr-Latn-RS" w:eastAsia="zh-CN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en-US" w:eastAsia="zh-CN"/>
              </w:rPr>
              <w:t>u razvoju, sa posebnim akcentom na primenu individualnog pristupa u radu sa svakim detetom. Polazeći od socijalnog modela invaliditeta, biće istaknuta važnos</w:t>
            </w:r>
            <w:r>
              <w:rPr>
                <w:rFonts w:ascii="Times New Roman" w:hAnsi="Times New Roman" w:cs="Times New Roman"/>
                <w:lang w:val="en-US" w:eastAsia="zh-CN"/>
              </w:rPr>
              <w:t>t razumevanja okruženja i barijera koje utiču na učešće i kvalitet života deteta, umesto fokusiranja isključivo na oštećenje ili dijagnozu. Kroz analizu primera iz prakse, učesnici će razmatrati kako se usluga može fleksibilno prilagoditi konkretnim potreb</w:t>
            </w:r>
            <w:r>
              <w:rPr>
                <w:rFonts w:ascii="Times New Roman" w:hAnsi="Times New Roman" w:cs="Times New Roman"/>
                <w:lang w:val="en-US" w:eastAsia="zh-CN"/>
              </w:rPr>
              <w:t>ama deteta i porodice, uz poštovanje njihovih prava, izbora i svakodnevne realnosti.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Stručni radnici su stekli znanje o značaju predah usluga za unapređenje socijalne inkluzije i različitim modalitetima pružanja predah usluga u zavisnosti od uzrasta i organizacije odnosno entitetu koji pruža usluge predaha.  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Stručni radnici poseduju znanj</w:t>
            </w:r>
            <w:r>
              <w:rPr>
                <w:sz w:val="22"/>
                <w:szCs w:val="22"/>
                <w:lang w:val="sr-Latn-RS"/>
              </w:rPr>
              <w:t>a i razumevanje o značaju usluge predah hraniteljstva kao vida podrške porodicama i prevencije institucionalizacije</w:t>
            </w:r>
            <w:r>
              <w:rPr>
                <w:sz w:val="22"/>
                <w:szCs w:val="22"/>
                <w:lang w:val="sr-Latn-RS"/>
              </w:rPr>
              <w:t xml:space="preserve"> dece </w:t>
            </w:r>
            <w:r>
              <w:rPr>
                <w:sz w:val="22"/>
                <w:szCs w:val="22"/>
                <w:lang w:val="sr-Latn-RS"/>
              </w:rPr>
              <w:t>iz ranjivih grupa.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Stručni radnici su osposobljeni da povežu i primene opšte standarde hraniteljstva u kontekstu pružanja usluge predah</w:t>
            </w:r>
            <w:r>
              <w:rPr>
                <w:sz w:val="22"/>
                <w:szCs w:val="22"/>
                <w:lang w:val="sr-Latn-RS"/>
              </w:rPr>
              <w:t>a, vodeći računa o najboljem interesu deteta i stabilnosti porodice.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Razvijene su kompetencije za tumačenje i primenu specifičnih standarda predah hraniteljstva u različitim praksama, uključujući proces procene, planiranja i praćenja usluge.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Učesnici su </w:t>
            </w:r>
            <w:r>
              <w:rPr>
                <w:sz w:val="22"/>
                <w:szCs w:val="22"/>
                <w:lang w:val="sr-Latn-RS"/>
              </w:rPr>
              <w:t>osposobljeni da planiraju i realizuju uslugu predaha u skladu sa individualnim potrebama porodica, uz istovremeno očuvanje razvojnih potreba i dobrobiti deteta.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Stručni radnici razumeju specifičnosti pružanja usluge deci sa smetnjama </w:t>
            </w:r>
            <w:r>
              <w:rPr>
                <w:sz w:val="22"/>
                <w:szCs w:val="22"/>
                <w:lang w:val="sr-Latn-RS"/>
              </w:rPr>
              <w:t xml:space="preserve">i teškoćama </w:t>
            </w:r>
            <w:r>
              <w:rPr>
                <w:sz w:val="22"/>
                <w:szCs w:val="22"/>
                <w:lang w:val="sr-Latn-RS"/>
              </w:rPr>
              <w:t xml:space="preserve">u razvoju </w:t>
            </w:r>
            <w:r>
              <w:rPr>
                <w:sz w:val="22"/>
                <w:szCs w:val="22"/>
                <w:lang w:val="sr-Latn-RS"/>
              </w:rPr>
              <w:t>i sposobni su da organizuju podršku koja odgovara njihovim potrebama i mogućnostima porodice.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 xml:space="preserve">Učesnici su stekli veštine za pružanje podrške biološkim porodicama koji su potencijalni korisnici usluge. 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Učesnici obuke su stekli veštine za edukaciju i osnaži</w:t>
            </w:r>
            <w:r>
              <w:rPr>
                <w:sz w:val="22"/>
                <w:szCs w:val="22"/>
                <w:lang w:val="sr-Latn-RS"/>
              </w:rPr>
              <w:t>vanje hraniteljskih porodica za uključivanje u uslugu predaha.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 w:bidi="ar"/>
              </w:rPr>
              <w:t>Učesnici su stekli znanje o mehanizmima praćenja kvaliteta usluge predah.</w:t>
            </w:r>
          </w:p>
          <w:p w:rsidR="002B7968" w:rsidRDefault="007538DA">
            <w:pPr>
              <w:pStyle w:val="NormalWeb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2"/>
                <w:szCs w:val="22"/>
                <w:lang w:val="sr-Latn-RS"/>
              </w:rPr>
              <w:lastRenderedPageBreak/>
              <w:t xml:space="preserve">Povećana je sposobnost učesnika da prepoznaju sopstvene profesionalne granice i uloge, kao i da efikasno funkcionišu u </w:t>
            </w:r>
            <w:r>
              <w:rPr>
                <w:sz w:val="22"/>
                <w:szCs w:val="22"/>
                <w:lang w:val="sr-Latn-RS"/>
              </w:rPr>
              <w:t xml:space="preserve">timskom radu, uz poštovanje principa podeljene odgovornosti.  Ovo se posebno odnosi na ulogu centara za socijalni rad, ulogu budućeg centra za hraniteljstvo, ulogu biološke porodice koja koristi uslugu i ulogu hraniteljske porodice koja je pruža.  </w:t>
            </w: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Ciljn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grupa profesionalaca kojima je obuka namijenjena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Obuka je primarno namenjena stručnim radnicima iz oblasti socijalne i dječje zaštite sa iskustvom rada sa decom i mladima.  Obuka takođe namenjena stručnjacima iz nevladinog sektora sa iskustvom podrške </w:t>
            </w:r>
            <w:r>
              <w:rPr>
                <w:rFonts w:ascii="Times New Roman" w:hAnsi="Times New Roman" w:cs="Times New Roman"/>
                <w:lang w:val="sr-Latn-RS"/>
              </w:rPr>
              <w:t>deci i mladima iz ranjivih kategorija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Uslovi za uključivanje profesionalaca u obuku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7538D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Uslovi za uključivanje stručnjaka u obuku podrazumevaju sledeće:  status stručnog radnika u socijalnoj zaštiti (licencirani stručni radnik u oblasti socijalne i dječje </w:t>
            </w:r>
            <w:r>
              <w:rPr>
                <w:rFonts w:ascii="Times New Roman" w:hAnsi="Times New Roman" w:cs="Times New Roman"/>
                <w:lang w:val="sr-Latn-RS"/>
              </w:rPr>
              <w:t xml:space="preserve">zaštite) ili diplomirani </w:t>
            </w:r>
            <w:r>
              <w:rPr>
                <w:rFonts w:ascii="Times New Roman" w:hAnsi="Times New Roman" w:cs="Times New Roman"/>
                <w:lang w:val="sr-Latn-RS"/>
              </w:rPr>
              <w:t xml:space="preserve">socijalni radnik, </w:t>
            </w:r>
            <w:r>
              <w:rPr>
                <w:rFonts w:ascii="Times New Roman" w:hAnsi="Times New Roman" w:cs="Times New Roman"/>
                <w:lang w:val="sr-Latn-RS"/>
              </w:rPr>
              <w:t xml:space="preserve">psiholog, pedagog, defektolog, sociolog, pravnik sa iskustvom </w:t>
            </w:r>
            <w:r>
              <w:rPr>
                <w:rFonts w:ascii="Times New Roman" w:hAnsi="Times New Roman" w:cs="Times New Roman"/>
                <w:lang w:val="sr-Latn-RS"/>
              </w:rPr>
              <w:t xml:space="preserve">u radu sa ranjivim grupama.  </w:t>
            </w:r>
          </w:p>
          <w:p w:rsidR="002B7968" w:rsidRDefault="007538DA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Prednost za pohađanje obuke, imaće stručni radnici sa iskustvom u radu sa decom i mladima iz ranjivih grupa. 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968" w:rsidRDefault="007538DA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Krajnji korisicni obuke Predah hraniteljstvo su: </w:t>
            </w:r>
          </w:p>
          <w:p w:rsidR="002B7968" w:rsidRDefault="002B7968">
            <w:pPr>
              <w:pStyle w:val="ListParagraph"/>
              <w:spacing w:after="0" w:line="276" w:lineRule="auto"/>
              <w:ind w:left="0"/>
              <w:rPr>
                <w:rFonts w:ascii="Times New Roman" w:hAnsi="Times New Roman" w:cs="Times New Roman"/>
                <w:lang w:val="sr-Latn-RS"/>
              </w:rPr>
            </w:pPr>
          </w:p>
          <w:p w:rsidR="002B7968" w:rsidRDefault="007538DA">
            <w:pPr>
              <w:pStyle w:val="ListParagraph"/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Roditelji deteta sa smetnjama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u razvoju, kojima je potreban predah u pružanju roditeljske nege svom detetu. </w:t>
            </w:r>
          </w:p>
          <w:p w:rsidR="002B7968" w:rsidRDefault="007538DA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Hranitelji kod kojih su smeštena deca </w:t>
            </w:r>
            <w:r>
              <w:rPr>
                <w:rFonts w:ascii="Times New Roman" w:hAnsi="Times New Roman" w:cs="Times New Roman"/>
                <w:lang w:val="sr-Latn-RS"/>
              </w:rPr>
              <w:t xml:space="preserve">kojima je potrebna intenzivna ili dodatna podrška </w:t>
            </w:r>
            <w:r>
              <w:rPr>
                <w:rFonts w:ascii="Times New Roman" w:hAnsi="Times New Roman" w:cs="Times New Roman"/>
                <w:lang w:val="sr-Latn-RS"/>
              </w:rPr>
              <w:t xml:space="preserve">sa </w:t>
            </w:r>
            <w:r>
              <w:rPr>
                <w:rFonts w:ascii="Times New Roman" w:hAnsi="Times New Roman" w:cs="Times New Roman"/>
                <w:lang w:val="sr-Latn-RS"/>
              </w:rPr>
              <w:t xml:space="preserve">posebnim fokusom na decu </w:t>
            </w:r>
            <w:r>
              <w:rPr>
                <w:rFonts w:ascii="Times New Roman" w:hAnsi="Times New Roman" w:cs="Times New Roman"/>
                <w:lang w:val="sr-Latn-RS"/>
              </w:rPr>
              <w:t xml:space="preserve">sa smetnjama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/>
              </w:rPr>
              <w:t>u razvoju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  <w:p w:rsidR="002B7968" w:rsidRDefault="007538DA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Roditelji ili hranitelji u situacijama kada su deca su u riziku od izmeštanja kao posledica zdravstvenog stanja roditelja (npr. potrebne bolni</w:t>
            </w:r>
            <w:r>
              <w:rPr>
                <w:rFonts w:ascii="Times New Roman" w:hAnsi="Times New Roman" w:cs="Times New Roman"/>
                <w:lang w:val="sr-Latn-RS"/>
              </w:rPr>
              <w:t xml:space="preserve">čke nege).  </w:t>
            </w:r>
          </w:p>
          <w:p w:rsidR="002B7968" w:rsidRDefault="007538DA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Deca sa smetnjama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i teškoćama </w:t>
            </w:r>
            <w:r>
              <w:rPr>
                <w:rFonts w:ascii="Times New Roman" w:hAnsi="Times New Roman" w:cs="Times New Roman"/>
                <w:lang w:val="sr-Latn-RS"/>
              </w:rPr>
              <w:t xml:space="preserve">u razvoju iu situacijama kada je biološkim roditeljima potreban predah.   </w:t>
            </w:r>
          </w:p>
          <w:p w:rsidR="002B7968" w:rsidRDefault="007538DA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Deca na hraniteljstvu </w:t>
            </w:r>
            <w:r>
              <w:rPr>
                <w:rFonts w:ascii="Times New Roman" w:hAnsi="Times New Roman" w:cs="Times New Roman"/>
                <w:lang w:val="sr-Latn-RS"/>
              </w:rPr>
              <w:t>kojima je potrebna intenzivna ili dodatna podrška,</w:t>
            </w:r>
            <w:r>
              <w:rPr>
                <w:rFonts w:ascii="Times New Roman" w:hAnsi="Times New Roman" w:cs="Times New Roman"/>
                <w:lang w:val="sr-Latn-RS"/>
              </w:rPr>
              <w:t xml:space="preserve"> u situacijama kada je hraniteljskoj porodici potreban predah </w:t>
            </w:r>
          </w:p>
          <w:p w:rsidR="002B7968" w:rsidRDefault="007538DA">
            <w:pPr>
              <w:numPr>
                <w:ilvl w:val="0"/>
                <w:numId w:val="3"/>
              </w:numPr>
              <w:tabs>
                <w:tab w:val="clear" w:pos="4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>Dec</w:t>
            </w:r>
            <w:r>
              <w:rPr>
                <w:rFonts w:ascii="Times New Roman" w:hAnsi="Times New Roman" w:cs="Times New Roman"/>
                <w:lang w:val="sr-Latn-RS"/>
              </w:rPr>
              <w:t>a iz bioloških porodica ili hraniteljskim porodicama kada je roditeljima ili hraniteljima potrebno bolničko zbrinjavanje ili intenzivna zdravstvena nega</w:t>
            </w:r>
          </w:p>
          <w:p w:rsidR="002B7968" w:rsidRDefault="002B7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Minimalan: </w:t>
            </w:r>
            <w:r>
              <w:rPr>
                <w:rFonts w:ascii="Times New Roman" w:hAnsi="Times New Roman" w:cs="Times New Roman"/>
                <w:lang w:val="sr-Latn-RS"/>
              </w:rPr>
              <w:t>12</w:t>
            </w:r>
          </w:p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Maksimalan: </w:t>
            </w:r>
            <w:r>
              <w:rPr>
                <w:rFonts w:ascii="Times New Roman" w:hAnsi="Times New Roman" w:cs="Times New Roman"/>
                <w:lang w:val="sr-Latn-RS"/>
              </w:rPr>
              <w:t>25</w:t>
            </w:r>
          </w:p>
        </w:tc>
      </w:tr>
    </w:tbl>
    <w:p w:rsidR="002B7968" w:rsidRDefault="002B796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968">
        <w:tc>
          <w:tcPr>
            <w:tcW w:w="9062" w:type="dxa"/>
            <w:shd w:val="clear" w:color="auto" w:fill="D9D9D9" w:themeFill="background1" w:themeFillShade="D9"/>
          </w:tcPr>
          <w:p w:rsidR="002B7968" w:rsidRDefault="00753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2B7968">
        <w:tc>
          <w:tcPr>
            <w:tcW w:w="9062" w:type="dxa"/>
            <w:shd w:val="clear" w:color="auto" w:fill="FFFFFF" w:themeFill="background1"/>
          </w:tcPr>
          <w:p w:rsidR="002B7968" w:rsidRDefault="0075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Dva dana, odnosno 16 sati </w:t>
            </w:r>
          </w:p>
        </w:tc>
      </w:tr>
    </w:tbl>
    <w:p w:rsidR="002B7968" w:rsidRDefault="002B79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p w:rsidR="002B7968" w:rsidRDefault="002B796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B796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8DA" w:rsidRDefault="007538DA">
      <w:pPr>
        <w:spacing w:line="240" w:lineRule="auto"/>
      </w:pPr>
      <w:r>
        <w:separator/>
      </w:r>
    </w:p>
  </w:endnote>
  <w:endnote w:type="continuationSeparator" w:id="0">
    <w:p w:rsidR="007538DA" w:rsidRDefault="00753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968" w:rsidRDefault="007538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7968" w:rsidRDefault="007538D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nFEXqBoCAABU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A5FE2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8DA" w:rsidRDefault="007538DA">
      <w:pPr>
        <w:spacing w:after="0"/>
      </w:pPr>
      <w:r>
        <w:separator/>
      </w:r>
    </w:p>
  </w:footnote>
  <w:footnote w:type="continuationSeparator" w:id="0">
    <w:p w:rsidR="007538DA" w:rsidRDefault="007538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B7E756"/>
    <w:multiLevelType w:val="singleLevel"/>
    <w:tmpl w:val="B4B7E756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510FAFA"/>
    <w:multiLevelType w:val="singleLevel"/>
    <w:tmpl w:val="1510FAFA"/>
    <w:lvl w:ilvl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74FF1A11"/>
    <w:multiLevelType w:val="singleLevel"/>
    <w:tmpl w:val="74FF1A1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02FD0"/>
    <w:rsid w:val="00027D1B"/>
    <w:rsid w:val="00031EAB"/>
    <w:rsid w:val="00033829"/>
    <w:rsid w:val="00034169"/>
    <w:rsid w:val="0003555C"/>
    <w:rsid w:val="00074B98"/>
    <w:rsid w:val="000934D8"/>
    <w:rsid w:val="000A68CF"/>
    <w:rsid w:val="000B4401"/>
    <w:rsid w:val="000C35F5"/>
    <w:rsid w:val="000F12AD"/>
    <w:rsid w:val="00122CE0"/>
    <w:rsid w:val="00140E23"/>
    <w:rsid w:val="00141FB4"/>
    <w:rsid w:val="00153923"/>
    <w:rsid w:val="00160F34"/>
    <w:rsid w:val="00164227"/>
    <w:rsid w:val="001737BC"/>
    <w:rsid w:val="001913E7"/>
    <w:rsid w:val="001A2F94"/>
    <w:rsid w:val="001A4739"/>
    <w:rsid w:val="001A7F5E"/>
    <w:rsid w:val="001B3F9C"/>
    <w:rsid w:val="001C7E94"/>
    <w:rsid w:val="001D6D34"/>
    <w:rsid w:val="0021270C"/>
    <w:rsid w:val="00213523"/>
    <w:rsid w:val="00237431"/>
    <w:rsid w:val="00284B6C"/>
    <w:rsid w:val="002B7968"/>
    <w:rsid w:val="002B7E40"/>
    <w:rsid w:val="002C3AD5"/>
    <w:rsid w:val="002E3030"/>
    <w:rsid w:val="002E5E0F"/>
    <w:rsid w:val="002F189A"/>
    <w:rsid w:val="002F1961"/>
    <w:rsid w:val="00324284"/>
    <w:rsid w:val="00364A93"/>
    <w:rsid w:val="003E0112"/>
    <w:rsid w:val="003E3AA6"/>
    <w:rsid w:val="003F74D6"/>
    <w:rsid w:val="0040465B"/>
    <w:rsid w:val="00461438"/>
    <w:rsid w:val="00481FDB"/>
    <w:rsid w:val="004E76DC"/>
    <w:rsid w:val="00501094"/>
    <w:rsid w:val="00502F46"/>
    <w:rsid w:val="00521982"/>
    <w:rsid w:val="00534D49"/>
    <w:rsid w:val="00564C29"/>
    <w:rsid w:val="0057675F"/>
    <w:rsid w:val="00586BC7"/>
    <w:rsid w:val="00592A8A"/>
    <w:rsid w:val="00592CC0"/>
    <w:rsid w:val="005951C0"/>
    <w:rsid w:val="005A4715"/>
    <w:rsid w:val="005C27E5"/>
    <w:rsid w:val="005D2D3C"/>
    <w:rsid w:val="005F4E3A"/>
    <w:rsid w:val="00603114"/>
    <w:rsid w:val="00631E5A"/>
    <w:rsid w:val="00680A4C"/>
    <w:rsid w:val="00682CEF"/>
    <w:rsid w:val="006912DA"/>
    <w:rsid w:val="0069291C"/>
    <w:rsid w:val="006A2743"/>
    <w:rsid w:val="006C2AE3"/>
    <w:rsid w:val="006D2A73"/>
    <w:rsid w:val="006F462B"/>
    <w:rsid w:val="006F6155"/>
    <w:rsid w:val="007538DA"/>
    <w:rsid w:val="00783242"/>
    <w:rsid w:val="007D51A8"/>
    <w:rsid w:val="007E38F0"/>
    <w:rsid w:val="007E3902"/>
    <w:rsid w:val="007F77BE"/>
    <w:rsid w:val="008142CB"/>
    <w:rsid w:val="00816AA8"/>
    <w:rsid w:val="00816E5B"/>
    <w:rsid w:val="0082750F"/>
    <w:rsid w:val="0084346B"/>
    <w:rsid w:val="00857BC9"/>
    <w:rsid w:val="008A035A"/>
    <w:rsid w:val="008F4AC8"/>
    <w:rsid w:val="00914654"/>
    <w:rsid w:val="0092277F"/>
    <w:rsid w:val="0092326A"/>
    <w:rsid w:val="0093452A"/>
    <w:rsid w:val="00940DB7"/>
    <w:rsid w:val="009A5D6E"/>
    <w:rsid w:val="009D586D"/>
    <w:rsid w:val="009E0A44"/>
    <w:rsid w:val="00A06DF0"/>
    <w:rsid w:val="00A07F9B"/>
    <w:rsid w:val="00A43C1F"/>
    <w:rsid w:val="00B43A8A"/>
    <w:rsid w:val="00B579B7"/>
    <w:rsid w:val="00B951E5"/>
    <w:rsid w:val="00BD00CB"/>
    <w:rsid w:val="00C347C8"/>
    <w:rsid w:val="00C602BC"/>
    <w:rsid w:val="00C82190"/>
    <w:rsid w:val="00CA0F27"/>
    <w:rsid w:val="00CB1E44"/>
    <w:rsid w:val="00CC50A7"/>
    <w:rsid w:val="00CC6E98"/>
    <w:rsid w:val="00CD08C1"/>
    <w:rsid w:val="00D46965"/>
    <w:rsid w:val="00DD395C"/>
    <w:rsid w:val="00DD4EEF"/>
    <w:rsid w:val="00DF4A9B"/>
    <w:rsid w:val="00E03699"/>
    <w:rsid w:val="00E50954"/>
    <w:rsid w:val="00E61319"/>
    <w:rsid w:val="00E91422"/>
    <w:rsid w:val="00ED129F"/>
    <w:rsid w:val="00F265C4"/>
    <w:rsid w:val="00F26D72"/>
    <w:rsid w:val="00F3390E"/>
    <w:rsid w:val="00F51190"/>
    <w:rsid w:val="00F61715"/>
    <w:rsid w:val="00F95FDE"/>
    <w:rsid w:val="00FC14AF"/>
    <w:rsid w:val="00FC32D8"/>
    <w:rsid w:val="00FE3315"/>
    <w:rsid w:val="00FF2F07"/>
    <w:rsid w:val="0DCD2096"/>
    <w:rsid w:val="15F313AD"/>
    <w:rsid w:val="19444C6A"/>
    <w:rsid w:val="235812A3"/>
    <w:rsid w:val="24BC773E"/>
    <w:rsid w:val="27D26D7F"/>
    <w:rsid w:val="27E22F15"/>
    <w:rsid w:val="2C141354"/>
    <w:rsid w:val="439F044B"/>
    <w:rsid w:val="44D8393A"/>
    <w:rsid w:val="4CE822E3"/>
    <w:rsid w:val="6892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935E0-3B06-4B9A-87C9-CDC48384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 w:qFormat="1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r-Latn-ME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sz w:val="22"/>
      <w:szCs w:val="22"/>
      <w:lang w:val="sr-Latn-ME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lang w:val="sr-Latn-ME"/>
    </w:rPr>
  </w:style>
  <w:style w:type="paragraph" w:customStyle="1" w:styleId="Revision1">
    <w:name w:val="Revision1"/>
    <w:hidden/>
    <w:uiPriority w:val="99"/>
    <w:unhideWhenUsed/>
    <w:qFormat/>
    <w:rPr>
      <w:sz w:val="22"/>
      <w:szCs w:val="22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35E381AFDD4CA25C36810E8B18AA" ma:contentTypeVersion="19" ma:contentTypeDescription="Create a new document." ma:contentTypeScope="" ma:versionID="398ee301feedfb213c17d05dae4ebf38">
  <xsd:schema xmlns:xsd="http://www.w3.org/2001/XMLSchema" xmlns:xs="http://www.w3.org/2001/XMLSchema" xmlns:p="http://schemas.microsoft.com/office/2006/metadata/properties" xmlns:ns2="e48b4058-02c0-462c-9910-7e07cb472587" xmlns:ns3="74318273-9539-4c93-8669-d2ba38ed67d5" xmlns:ns4="ca283e0b-db31-4043-a2ef-b80661bf084a" targetNamespace="http://schemas.microsoft.com/office/2006/metadata/properties" ma:root="true" ma:fieldsID="bfe0488a09731d9c7807db3b79de1078" ns2:_="" ns3:_="" ns4:_="">
    <xsd:import namespace="e48b4058-02c0-462c-9910-7e07cb472587"/>
    <xsd:import namespace="74318273-9539-4c93-8669-d2ba38ed67d5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4058-02c0-462c-9910-7e07cb472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18273-9539-4c93-8669-d2ba38ed6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8bc22eb-54b0-487d-8d73-21f54bf0a027}" ma:internalName="TaxCatchAll" ma:showField="CatchAllData" ma:web="e48b4058-02c0-462c-9910-7e07cb47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74318273-9539-4c93-8669-d2ba38ed67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8698A-B94C-444F-B4FB-634D4743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4058-02c0-462c-9910-7e07cb472587"/>
    <ds:schemaRef ds:uri="74318273-9539-4c93-8669-d2ba38ed67d5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C4E998-73A6-4F1F-93FC-01AFFCC8A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C464F96-2FD0-48B8-8126-50CD0FEEA2B9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74318273-9539-4c93-8669-d2ba38ed6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PGZS19</dc:creator>
  <cp:lastModifiedBy>Dunja Pajovic</cp:lastModifiedBy>
  <cp:revision>2</cp:revision>
  <dcterms:created xsi:type="dcterms:W3CDTF">2025-09-11T06:49:00Z</dcterms:created>
  <dcterms:modified xsi:type="dcterms:W3CDTF">2025-09-11T06:49:00Z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D9DE899711CD4F50B850EE99697DE8B9_13</vt:lpwstr>
  </property>
  <property fmtid="{D5CDD505-2E9C-101B-9397-08002B2CF9AE}" pid="4" name="ContentTypeId">
    <vt:lpwstr>0x0101001B1035E381AFDD4CA25C36810E8B18AA</vt:lpwstr>
  </property>
  <property fmtid="{D5CDD505-2E9C-101B-9397-08002B2CF9AE}" pid="5" name="MediaServiceImageTags">
    <vt:lpwstr/>
  </property>
</Properties>
</file>